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593" w:type="dxa"/>
        <w:tblLayout w:type="fixed"/>
        <w:tblLook w:val="04A0" w:firstRow="1" w:lastRow="0" w:firstColumn="1" w:lastColumn="0" w:noHBand="0" w:noVBand="1"/>
      </w:tblPr>
      <w:tblGrid>
        <w:gridCol w:w="4796"/>
        <w:gridCol w:w="4797"/>
      </w:tblGrid>
      <w:tr w:rsidR="00CB579F" w14:paraId="5354D2E5" w14:textId="77777777">
        <w:trPr>
          <w:trHeight w:val="360"/>
        </w:trPr>
        <w:tc>
          <w:tcPr>
            <w:tcW w:w="9593" w:type="dxa"/>
            <w:gridSpan w:val="2"/>
            <w:tcBorders>
              <w:top w:val="nil"/>
              <w:left w:val="nil"/>
              <w:right w:val="nil"/>
            </w:tcBorders>
          </w:tcPr>
          <w:p w14:paraId="3F73AA30" w14:textId="77777777" w:rsidR="00CB579F" w:rsidRDefault="00682679">
            <w:pPr>
              <w:pStyle w:val="Header"/>
              <w:jc w:val="center"/>
              <w:rPr>
                <w:b/>
              </w:rPr>
            </w:pPr>
            <w:bookmarkStart w:id="0" w:name="_Toc506025961"/>
            <w:bookmarkStart w:id="1" w:name="_GoBack"/>
            <w:bookmarkEnd w:id="1"/>
            <w:r>
              <w:rPr>
                <w:b/>
                <w:sz w:val="24"/>
              </w:rPr>
              <w:t>Annex K.</w:t>
            </w:r>
            <w:r>
              <w:rPr>
                <w:b/>
                <w:sz w:val="24"/>
                <w:szCs w:val="24"/>
              </w:rPr>
              <w:t xml:space="preserve"> </w:t>
            </w:r>
            <w:r>
              <w:rPr>
                <w:b/>
                <w:bCs/>
                <w:sz w:val="24"/>
                <w:szCs w:val="24"/>
              </w:rPr>
              <w:t>Baseline report on policy, governance and knowledge management</w:t>
            </w:r>
          </w:p>
        </w:tc>
      </w:tr>
      <w:tr w:rsidR="00CB579F" w14:paraId="38912A6C" w14:textId="77777777">
        <w:tc>
          <w:tcPr>
            <w:tcW w:w="9593" w:type="dxa"/>
            <w:gridSpan w:val="2"/>
          </w:tcPr>
          <w:p w14:paraId="782B84C3" w14:textId="77777777" w:rsidR="00CB579F" w:rsidRDefault="00682679">
            <w:pPr>
              <w:keepNext/>
              <w:keepLines/>
              <w:spacing w:before="40" w:after="40"/>
              <w:outlineLvl w:val="0"/>
              <w:rPr>
                <w:rFonts w:eastAsiaTheme="majorEastAsia" w:cstheme="majorBidi"/>
                <w:bCs/>
                <w:szCs w:val="28"/>
              </w:rPr>
            </w:pPr>
            <w:r>
              <w:rPr>
                <w:b/>
                <w:szCs w:val="20"/>
                <w:lang w:eastAsia="zh-CN"/>
              </w:rPr>
              <w:t>Project:</w:t>
            </w:r>
            <w:r>
              <w:rPr>
                <w:szCs w:val="20"/>
                <w:lang w:eastAsia="zh-CN"/>
              </w:rPr>
              <w:t xml:space="preserve"> Participatory in-situ conservation and sustainable use of agrobiodiversity in Hainan</w:t>
            </w:r>
          </w:p>
        </w:tc>
      </w:tr>
      <w:tr w:rsidR="00CB579F" w14:paraId="0CD5BDB9" w14:textId="77777777">
        <w:tc>
          <w:tcPr>
            <w:tcW w:w="4796" w:type="dxa"/>
          </w:tcPr>
          <w:p w14:paraId="34153532" w14:textId="77777777" w:rsidR="00CB579F" w:rsidRDefault="00682679">
            <w:pPr>
              <w:keepNext/>
              <w:keepLines/>
              <w:spacing w:before="40" w:after="40"/>
              <w:jc w:val="center"/>
              <w:outlineLvl w:val="0"/>
              <w:rPr>
                <w:rFonts w:eastAsiaTheme="majorEastAsia" w:cstheme="majorBidi"/>
                <w:bCs/>
                <w:szCs w:val="28"/>
              </w:rPr>
            </w:pPr>
            <w:r>
              <w:rPr>
                <w:rFonts w:eastAsiaTheme="majorEastAsia" w:cstheme="majorBidi"/>
                <w:bCs/>
                <w:szCs w:val="28"/>
              </w:rPr>
              <w:t>UNDP PIMS: 5823</w:t>
            </w:r>
          </w:p>
        </w:tc>
        <w:tc>
          <w:tcPr>
            <w:tcW w:w="4797" w:type="dxa"/>
          </w:tcPr>
          <w:p w14:paraId="2CA68F57" w14:textId="77777777" w:rsidR="00CB579F" w:rsidRDefault="00682679">
            <w:pPr>
              <w:keepNext/>
              <w:keepLines/>
              <w:spacing w:before="40" w:after="40"/>
              <w:jc w:val="center"/>
              <w:outlineLvl w:val="0"/>
              <w:rPr>
                <w:rFonts w:eastAsiaTheme="majorEastAsia" w:cstheme="majorBidi"/>
                <w:bCs/>
                <w:szCs w:val="28"/>
              </w:rPr>
            </w:pPr>
            <w:r>
              <w:rPr>
                <w:rFonts w:eastAsiaTheme="majorEastAsia" w:cstheme="majorBidi"/>
                <w:bCs/>
                <w:szCs w:val="28"/>
              </w:rPr>
              <w:t xml:space="preserve">GEF Project ID: </w:t>
            </w:r>
            <w:r>
              <w:rPr>
                <w:rFonts w:eastAsiaTheme="majorEastAsia" w:cstheme="majorBidi"/>
                <w:bCs/>
                <w:szCs w:val="28"/>
                <w:highlight w:val="yellow"/>
              </w:rPr>
              <w:t>TBD</w:t>
            </w:r>
          </w:p>
        </w:tc>
      </w:tr>
    </w:tbl>
    <w:p w14:paraId="7EDC0FC3" w14:textId="77777777" w:rsidR="00CB579F" w:rsidRDefault="00682679">
      <w:pPr>
        <w:pStyle w:val="Heading1"/>
        <w:rPr>
          <w:color w:val="002060"/>
        </w:rPr>
      </w:pPr>
      <w:r>
        <w:rPr>
          <w:color w:val="002060"/>
        </w:rPr>
        <w:t>Introduction</w:t>
      </w:r>
      <w:bookmarkEnd w:id="0"/>
    </w:p>
    <w:p w14:paraId="5B559676" w14:textId="77777777" w:rsidR="00CB579F" w:rsidRDefault="00682679">
      <w:r>
        <w:t>This baseline report addresses each of the four barriers to incorporating in-situ conservation and sustainable use of the province’s agrobiodiversity identified in concept note for the project:</w:t>
      </w:r>
    </w:p>
    <w:p w14:paraId="7D7A18FC" w14:textId="77777777" w:rsidR="00CB579F" w:rsidRDefault="00682679">
      <w:pPr>
        <w:pStyle w:val="ListParagraph"/>
        <w:numPr>
          <w:ilvl w:val="0"/>
          <w:numId w:val="2"/>
        </w:numPr>
        <w:rPr>
          <w:lang w:eastAsia="zh-CN"/>
        </w:rPr>
      </w:pPr>
      <w:r>
        <w:rPr>
          <w:b/>
          <w:lang w:eastAsia="zh-CN"/>
        </w:rPr>
        <w:t>Barrier 1:</w:t>
      </w:r>
      <w:r>
        <w:rPr>
          <w:lang w:eastAsia="zh-CN"/>
        </w:rPr>
        <w:t xml:space="preserve"> The absence of a cohesive policy and regulatory framework to support the in-situ conservation of agrobiodiversity and a lack of inter-sectoral coordination mechanisms</w:t>
      </w:r>
    </w:p>
    <w:p w14:paraId="501D7FDF" w14:textId="77777777" w:rsidR="00CB579F" w:rsidRDefault="00682679">
      <w:pPr>
        <w:pStyle w:val="ListParagraph"/>
        <w:numPr>
          <w:ilvl w:val="0"/>
          <w:numId w:val="2"/>
        </w:numPr>
        <w:rPr>
          <w:lang w:eastAsia="zh-CN"/>
        </w:rPr>
      </w:pPr>
      <w:r>
        <w:rPr>
          <w:b/>
          <w:lang w:eastAsia="zh-CN"/>
        </w:rPr>
        <w:t>Barrier 2</w:t>
      </w:r>
      <w:r>
        <w:rPr>
          <w:lang w:eastAsia="zh-CN"/>
        </w:rPr>
        <w:t xml:space="preserve">: A lack of </w:t>
      </w:r>
      <w:r>
        <w:rPr>
          <w:rFonts w:eastAsiaTheme="minorEastAsia" w:hint="eastAsia"/>
          <w:lang w:eastAsia="zh-CN"/>
        </w:rPr>
        <w:t xml:space="preserve">financial </w:t>
      </w:r>
      <w:r>
        <w:rPr>
          <w:lang w:eastAsia="zh-CN"/>
        </w:rPr>
        <w:t>incentives for farmers to conserve and sustainably use traditional crops and livestock, and the absence of public sector support structures and market-based mechanisms to establish these incentives</w:t>
      </w:r>
    </w:p>
    <w:p w14:paraId="16BF5F76" w14:textId="77777777" w:rsidR="00CB579F" w:rsidRDefault="00682679">
      <w:pPr>
        <w:pStyle w:val="ListParagraph"/>
        <w:numPr>
          <w:ilvl w:val="0"/>
          <w:numId w:val="2"/>
        </w:numPr>
      </w:pPr>
      <w:r>
        <w:rPr>
          <w:b/>
          <w:lang w:eastAsia="zh-CN"/>
        </w:rPr>
        <w:t>Barrier 3</w:t>
      </w:r>
      <w:r>
        <w:rPr>
          <w:lang w:eastAsia="zh-CN"/>
        </w:rPr>
        <w:t>: Limited capacity and a lack of mainstreamed institutional support for the in-situ conservation of agrobiodiversity at all levels.</w:t>
      </w:r>
    </w:p>
    <w:p w14:paraId="46BDF65A" w14:textId="77777777" w:rsidR="00CB579F" w:rsidRDefault="00682679">
      <w:pPr>
        <w:pStyle w:val="ListParagraph"/>
        <w:numPr>
          <w:ilvl w:val="0"/>
          <w:numId w:val="2"/>
        </w:numPr>
      </w:pPr>
      <w:r>
        <w:rPr>
          <w:b/>
          <w:lang w:eastAsia="zh-CN"/>
        </w:rPr>
        <w:t>Barrier 4</w:t>
      </w:r>
      <w:r>
        <w:rPr>
          <w:lang w:eastAsia="zh-CN"/>
        </w:rPr>
        <w:t>: Low levels of awareness on the importance of agrobiodiversity</w:t>
      </w:r>
      <w:r>
        <w:rPr>
          <w:rFonts w:eastAsiaTheme="minorEastAsia" w:hint="eastAsia"/>
          <w:lang w:eastAsia="zh-CN"/>
        </w:rPr>
        <w:t>,</w:t>
      </w:r>
      <w:r>
        <w:rPr>
          <w:lang w:eastAsia="zh-CN"/>
        </w:rPr>
        <w:t xml:space="preserve"> of opportunities to conserve it and poor access to knowledge and information</w:t>
      </w:r>
      <w:r>
        <w:rPr>
          <w:rFonts w:eastAsiaTheme="minorEastAsia" w:hint="eastAsia"/>
          <w:lang w:eastAsia="zh-CN"/>
        </w:rPr>
        <w:t>.</w:t>
      </w:r>
    </w:p>
    <w:p w14:paraId="00A0B54A" w14:textId="77777777" w:rsidR="00CB579F" w:rsidRDefault="00682679">
      <w:pPr>
        <w:pStyle w:val="Heading1"/>
        <w:rPr>
          <w:color w:val="002060"/>
        </w:rPr>
      </w:pPr>
      <w:r>
        <w:rPr>
          <w:color w:val="002060"/>
        </w:rPr>
        <w:t>Policy and Legal Frameworks</w:t>
      </w:r>
    </w:p>
    <w:p w14:paraId="30577C26" w14:textId="77777777" w:rsidR="00CB579F" w:rsidRDefault="00682679">
      <w:pPr>
        <w:pStyle w:val="Heading2"/>
      </w:pPr>
      <w:r>
        <w:t>Baseline Analysis</w:t>
      </w:r>
    </w:p>
    <w:p w14:paraId="2742945A" w14:textId="77777777" w:rsidR="00CB579F" w:rsidRDefault="00682679">
      <w:pPr>
        <w:rPr>
          <w:lang w:eastAsia="zh-CN"/>
        </w:rPr>
      </w:pPr>
      <w:bookmarkStart w:id="2" w:name="_Hlk534195585"/>
      <w:r>
        <w:rPr>
          <w:color w:val="000000"/>
        </w:rPr>
        <w:t xml:space="preserve">There are a number of provincial and national governmental programs aimed at mainstreaming biodiversity conservation into agricultural production practices. In 2014, the Hainan provincial government issued two important strategies: </w:t>
      </w:r>
      <w:r>
        <w:rPr>
          <w:i/>
          <w:iCs/>
          <w:color w:val="000000"/>
        </w:rPr>
        <w:t xml:space="preserve">Management of Crop Germplasm Resources </w:t>
      </w:r>
      <w:r>
        <w:rPr>
          <w:color w:val="000000"/>
        </w:rPr>
        <w:t xml:space="preserve">and </w:t>
      </w:r>
      <w:r>
        <w:rPr>
          <w:i/>
          <w:color w:val="000000"/>
        </w:rPr>
        <w:t xml:space="preserve">Provincial </w:t>
      </w:r>
      <w:r>
        <w:rPr>
          <w:i/>
          <w:iCs/>
          <w:color w:val="000000"/>
        </w:rPr>
        <w:t xml:space="preserve">Biodiversity Strategy and Action Plan (PBSAP) </w:t>
      </w:r>
      <w:r>
        <w:rPr>
          <w:color w:val="000000"/>
        </w:rPr>
        <w:t>(2014-2030)</w:t>
      </w:r>
      <w:r>
        <w:rPr>
          <w:rFonts w:hint="eastAsia"/>
          <w:color w:val="000000"/>
          <w:lang w:eastAsia="zh-CN"/>
        </w:rPr>
        <w:t>.</w:t>
      </w:r>
      <w:r>
        <w:rPr>
          <w:color w:val="000000"/>
        </w:rPr>
        <w:t xml:space="preserve"> </w:t>
      </w:r>
      <w:r>
        <w:rPr>
          <w:lang w:eastAsia="zh-CN"/>
        </w:rPr>
        <w:t>In 2017, the provincial government issued the</w:t>
      </w:r>
      <w:r>
        <w:rPr>
          <w:i/>
          <w:lang w:eastAsia="zh-CN"/>
        </w:rPr>
        <w:t xml:space="preserve"> Implementation Guidance on Agricultural Modernization Acceleration and Realization of a Comprehensive Well-off Society in Rural Areas</w:t>
      </w:r>
      <w:r>
        <w:rPr>
          <w:lang w:eastAsia="zh-CN"/>
        </w:rPr>
        <w:t>. In this guidance, the government outlines a strategy</w:t>
      </w:r>
      <w:r>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Pr>
          <w:color w:val="000000"/>
        </w:rPr>
        <w:t>reflect the recognition of the value of crop germplasm resources for sustainable development. However, the plans and strategies do not address  in-situ conservation and sustainable use of local genetic resources for food and agriculture (GRFA) varieties. The 2017 guidance document also outlines the need to e</w:t>
      </w:r>
      <w:r>
        <w:t xml:space="preserve">stablish and improve the ecological protection compensation mechanism and ecological restoration mechanism, and to carry out pilot projects of river basin and horizontal ecological compensation in the three major river basins of Nandujiang River, Wanquanhe River and Changhuajiang River, and to actively support farmers to develop leisure tourism cooperatives and create a number of national, provincial, city and county-level leisure agriculture and rural tourism demonstration parks. </w:t>
      </w:r>
      <w:r>
        <w:rPr>
          <w:lang w:eastAsia="zh-CN"/>
        </w:rPr>
        <w:t>Specific incentives, however, are still lacking for farmers and public sector support structures and market-based mechanisms are absent to establish these incentives</w:t>
      </w:r>
      <w:bookmarkEnd w:id="2"/>
      <w:r>
        <w:rPr>
          <w:lang w:eastAsia="zh-CN"/>
        </w:rPr>
        <w:t>.</w:t>
      </w:r>
    </w:p>
    <w:p w14:paraId="4041F7CE" w14:textId="1FBDA488" w:rsidR="00CB579F" w:rsidRDefault="00682679">
      <w:pPr>
        <w:rPr>
          <w:lang w:eastAsia="zh-CN"/>
        </w:rPr>
      </w:pPr>
      <w:bookmarkStart w:id="3" w:name="_Hlk534195661"/>
      <w:r>
        <w:rPr>
          <w:rFonts w:hint="eastAsia"/>
        </w:rPr>
        <w:t xml:space="preserve">Although </w:t>
      </w:r>
      <w:r>
        <w:t>the policy framework is lacking for in-situ conservation and sustainable uses of landraces, broader policy directions have been initiated by Chinese Central Government to “support Hainan Province to establish a Free Trade Area and to support the province in establishing  Free Trade Ports in certain paces” (Speech by President Xi Jinping, 13 April 2018)</w:t>
      </w:r>
      <w:r w:rsidRPr="007D59DF">
        <w:rPr>
          <w:vertAlign w:val="superscript"/>
          <w:lang w:eastAsia="zh-CN"/>
        </w:rPr>
        <w:t>1</w:t>
      </w:r>
      <w:r>
        <w:t xml:space="preserve">. Additionally, </w:t>
      </w:r>
      <w:r>
        <w:rPr>
          <w:rFonts w:hint="eastAsia"/>
          <w:lang w:eastAsia="zh-CN"/>
        </w:rPr>
        <w:t xml:space="preserve">in 2018, </w:t>
      </w:r>
      <w:r>
        <w:t>the provincial government has issued g</w:t>
      </w:r>
      <w:r>
        <w:rPr>
          <w:rFonts w:hint="eastAsia"/>
        </w:rPr>
        <w:t xml:space="preserve">uidance on </w:t>
      </w:r>
      <w:r>
        <w:t>f</w:t>
      </w:r>
      <w:r>
        <w:rPr>
          <w:rFonts w:hint="eastAsia"/>
        </w:rPr>
        <w:t xml:space="preserve">urther </w:t>
      </w:r>
      <w:r>
        <w:t>p</w:t>
      </w:r>
      <w:r>
        <w:rPr>
          <w:rFonts w:hint="eastAsia"/>
        </w:rPr>
        <w:t xml:space="preserve">romoting the </w:t>
      </w:r>
      <w:r>
        <w:t>development</w:t>
      </w:r>
      <w:r>
        <w:rPr>
          <w:rFonts w:hint="eastAsia"/>
        </w:rPr>
        <w:t xml:space="preserve"> of </w:t>
      </w:r>
      <w:r>
        <w:t>c</w:t>
      </w:r>
      <w:r>
        <w:rPr>
          <w:rFonts w:hint="eastAsia"/>
        </w:rPr>
        <w:t xml:space="preserve">ivilized </w:t>
      </w:r>
      <w:r>
        <w:t>e</w:t>
      </w:r>
      <w:r>
        <w:rPr>
          <w:rFonts w:hint="eastAsia"/>
        </w:rPr>
        <w:t xml:space="preserve">cological </w:t>
      </w:r>
      <w:r>
        <w:t>v</w:t>
      </w:r>
      <w:r>
        <w:rPr>
          <w:rFonts w:hint="eastAsia"/>
        </w:rPr>
        <w:t xml:space="preserve">illages in the </w:t>
      </w:r>
      <w:r>
        <w:t>p</w:t>
      </w:r>
      <w:r>
        <w:rPr>
          <w:rFonts w:hint="eastAsia"/>
        </w:rPr>
        <w:t>rovince.</w:t>
      </w:r>
      <w:r>
        <w:t xml:space="preserve"> The guidance presents the vision to accelerate development of ecological agriculture through vigorously developing tropical high-efficiency agriculture and brand agriculture, expanding the production of pollution-free agricultural products, green foods and organic foods, focusing on "one village one product, one village one special</w:t>
      </w:r>
      <w:r>
        <w:rPr>
          <w:rFonts w:hint="eastAsia"/>
          <w:lang w:eastAsia="zh-CN"/>
        </w:rPr>
        <w:t>ty</w:t>
      </w:r>
      <w:r>
        <w:t>", developing characteristic ecological agriculture, promoting the construction of information infrastructure for civilized ecological villages, and actively guiding farmers to use network information to build Hainan's characteristic agricultural products e-commerce brand. The guidance also outlines the plans to accelerate the development of ecotourism by focusing on creating a number of rural tourism demonstration sites and promoting the upgrading and upgrading of civilized ecological villages according to the location characteristics, historical traditions and natural characteristics. It is clear that the provincial government is eager to take advantage of the opportunity supported by the central government and try to integrate construction of free trade area and promotion of tourism attraction partly by conservation of agrobiodiversity and sustainable agricultural development</w:t>
      </w:r>
      <w:bookmarkEnd w:id="3"/>
      <w:r>
        <w:t xml:space="preserve">. </w:t>
      </w:r>
      <w:bookmarkStart w:id="4" w:name="_Hlk534195728"/>
      <w:r>
        <w:rPr>
          <w:rFonts w:hint="eastAsia"/>
          <w:lang w:eastAsia="zh-CN"/>
        </w:rPr>
        <w:t>In 2017, t</w:t>
      </w:r>
      <w:r>
        <w:t xml:space="preserve">he provincial government has pledged </w:t>
      </w:r>
      <w:r>
        <w:rPr>
          <w:lang w:eastAsia="zh-CN"/>
        </w:rPr>
        <w:t xml:space="preserve">to issue a regulation on ecological compensation in Hainan Province </w:t>
      </w:r>
      <w:r>
        <w:rPr>
          <w:lang w:eastAsia="zh-CN"/>
        </w:rPr>
        <w:lastRenderedPageBreak/>
        <w:t>before 2020</w:t>
      </w:r>
      <w:r w:rsidRPr="007C0DA6">
        <w:rPr>
          <w:vertAlign w:val="superscript"/>
          <w:lang w:eastAsia="zh-CN"/>
        </w:rPr>
        <w:t>2</w:t>
      </w:r>
      <w:r>
        <w:rPr>
          <w:lang w:eastAsia="zh-CN"/>
        </w:rPr>
        <w:t xml:space="preserve">. </w:t>
      </w:r>
      <w:r w:rsidR="007C0DA6">
        <w:rPr>
          <w:lang w:eastAsia="zh-CN"/>
        </w:rPr>
        <w:t xml:space="preserve">The </w:t>
      </w:r>
      <w:r>
        <w:rPr>
          <w:rFonts w:hint="eastAsia"/>
          <w:lang w:eastAsia="zh-CN"/>
        </w:rPr>
        <w:t xml:space="preserve">Hainan Provincial Commission of Development and Reform and </w:t>
      </w:r>
      <w:r w:rsidR="007C0DA6">
        <w:rPr>
          <w:lang w:eastAsia="zh-CN"/>
        </w:rPr>
        <w:t xml:space="preserve">the </w:t>
      </w:r>
      <w:r>
        <w:rPr>
          <w:rFonts w:hint="eastAsia"/>
          <w:lang w:eastAsia="zh-CN"/>
        </w:rPr>
        <w:t>Hainan Provincial Department of Ecological and Environmental Protection</w:t>
      </w:r>
      <w:r w:rsidR="0040571E">
        <w:rPr>
          <w:lang w:eastAsia="zh-CN"/>
        </w:rPr>
        <w:t xml:space="preserve"> </w:t>
      </w:r>
      <w:r>
        <w:rPr>
          <w:rFonts w:hint="eastAsia"/>
          <w:lang w:eastAsia="zh-CN"/>
        </w:rPr>
        <w:t xml:space="preserve">are </w:t>
      </w:r>
      <w:r w:rsidR="0040571E">
        <w:rPr>
          <w:lang w:eastAsia="zh-CN"/>
        </w:rPr>
        <w:t>formulating</w:t>
      </w:r>
      <w:r>
        <w:rPr>
          <w:rFonts w:hint="eastAsia"/>
          <w:lang w:eastAsia="zh-CN"/>
        </w:rPr>
        <w:t xml:space="preserve"> articles for this regulation. Hainan Provincial Department of Agriculture and Rural Areas</w:t>
      </w:r>
      <w:r w:rsidR="0040571E">
        <w:rPr>
          <w:lang w:eastAsia="zh-CN"/>
        </w:rPr>
        <w:t xml:space="preserve"> (DARA)</w:t>
      </w:r>
      <w:r>
        <w:rPr>
          <w:rFonts w:hint="eastAsia"/>
          <w:lang w:eastAsia="zh-CN"/>
        </w:rPr>
        <w:t xml:space="preserve"> is</w:t>
      </w:r>
      <w:r w:rsidR="0040571E">
        <w:rPr>
          <w:lang w:eastAsia="zh-CN"/>
        </w:rPr>
        <w:t xml:space="preserve"> also</w:t>
      </w:r>
      <w:r>
        <w:rPr>
          <w:rFonts w:hint="eastAsia"/>
          <w:lang w:eastAsia="zh-CN"/>
        </w:rPr>
        <w:t xml:space="preserve"> </w:t>
      </w:r>
      <w:r w:rsidR="0040571E">
        <w:rPr>
          <w:lang w:eastAsia="zh-CN"/>
        </w:rPr>
        <w:t>supporting the development of this</w:t>
      </w:r>
      <w:r>
        <w:rPr>
          <w:rFonts w:hint="eastAsia"/>
          <w:lang w:eastAsia="zh-CN"/>
        </w:rPr>
        <w:t xml:space="preserve"> regulation. </w:t>
      </w:r>
      <w:r>
        <w:rPr>
          <w:lang w:eastAsia="zh-CN"/>
        </w:rPr>
        <w:t>This timing is opportune for the C-SAP project to support the province in realizing these goals</w:t>
      </w:r>
      <w:bookmarkEnd w:id="4"/>
      <w:r>
        <w:rPr>
          <w:lang w:eastAsia="zh-CN"/>
        </w:rPr>
        <w:t xml:space="preserve">. </w:t>
      </w:r>
    </w:p>
    <w:p w14:paraId="3DCC7762" w14:textId="24C30252" w:rsidR="00CB579F" w:rsidRDefault="00682679">
      <w:pPr>
        <w:rPr>
          <w:lang w:eastAsia="zh-CN"/>
        </w:rPr>
      </w:pPr>
      <w:r>
        <w:rPr>
          <w:rFonts w:hint="eastAsia"/>
          <w:lang w:eastAsia="zh-CN"/>
        </w:rPr>
        <w:t xml:space="preserve">On  </w:t>
      </w:r>
      <w:r w:rsidR="0040571E">
        <w:rPr>
          <w:lang w:eastAsia="zh-CN"/>
        </w:rPr>
        <w:t>22 September 2017</w:t>
      </w:r>
      <w:r>
        <w:rPr>
          <w:rFonts w:hint="eastAsia"/>
          <w:lang w:eastAsia="zh-CN"/>
        </w:rPr>
        <w:t xml:space="preserve">, </w:t>
      </w:r>
      <w:r w:rsidR="0040571E">
        <w:rPr>
          <w:lang w:eastAsia="zh-CN"/>
        </w:rPr>
        <w:t xml:space="preserve">the </w:t>
      </w:r>
      <w:r>
        <w:rPr>
          <w:rFonts w:hint="eastAsia"/>
          <w:lang w:eastAsia="zh-CN"/>
        </w:rPr>
        <w:t>Hainan Provincial Committee of China Communist Party passed</w:t>
      </w:r>
      <w:r w:rsidR="0040571E">
        <w:rPr>
          <w:lang w:eastAsia="zh-CN"/>
        </w:rPr>
        <w:t xml:space="preserve"> the</w:t>
      </w:r>
      <w:r>
        <w:rPr>
          <w:rFonts w:hint="eastAsia"/>
          <w:lang w:eastAsia="zh-CN"/>
        </w:rPr>
        <w:t xml:space="preserve"> </w:t>
      </w:r>
      <w:r>
        <w:rPr>
          <w:i/>
          <w:lang w:eastAsia="zh-CN"/>
        </w:rPr>
        <w:t>Resolution of Strengthening Construction of Ecological Civilization and Writing a New Page of Beautiful China</w:t>
      </w:r>
      <w:r w:rsidR="0040571E">
        <w:rPr>
          <w:i/>
          <w:lang w:eastAsia="zh-CN"/>
        </w:rPr>
        <w:t>,</w:t>
      </w:r>
      <w:r>
        <w:rPr>
          <w:i/>
          <w:lang w:eastAsia="zh-CN"/>
        </w:rPr>
        <w:t xml:space="preserve"> </w:t>
      </w:r>
      <w:r w:rsidR="0040571E">
        <w:rPr>
          <w:lang w:eastAsia="zh-CN"/>
        </w:rPr>
        <w:t>a</w:t>
      </w:r>
      <w:r>
        <w:rPr>
          <w:rFonts w:hint="eastAsia"/>
          <w:lang w:eastAsia="zh-CN"/>
        </w:rPr>
        <w:t xml:space="preserve"> pledge </w:t>
      </w:r>
      <w:r w:rsidR="0040571E">
        <w:rPr>
          <w:lang w:eastAsia="zh-CN"/>
        </w:rPr>
        <w:t>for achieving a leading</w:t>
      </w:r>
      <w:r>
        <w:rPr>
          <w:rFonts w:hint="eastAsia"/>
          <w:lang w:eastAsia="zh-CN"/>
        </w:rPr>
        <w:t xml:space="preserve"> rank among provinces in China in </w:t>
      </w:r>
      <w:r w:rsidR="0040571E">
        <w:rPr>
          <w:lang w:eastAsia="zh-CN"/>
        </w:rPr>
        <w:t>development</w:t>
      </w:r>
      <w:r>
        <w:rPr>
          <w:rFonts w:hint="eastAsia"/>
          <w:lang w:eastAsia="zh-CN"/>
        </w:rPr>
        <w:t xml:space="preserve"> of </w:t>
      </w:r>
      <w:r w:rsidR="0040571E">
        <w:rPr>
          <w:lang w:eastAsia="zh-CN"/>
        </w:rPr>
        <w:t xml:space="preserve">an </w:t>
      </w:r>
      <w:r>
        <w:rPr>
          <w:rFonts w:hint="eastAsia"/>
          <w:lang w:eastAsia="zh-CN"/>
        </w:rPr>
        <w:t xml:space="preserve">ecological civilization. Specific measures include </w:t>
      </w:r>
      <w:r w:rsidR="0040571E">
        <w:rPr>
          <w:lang w:eastAsia="zh-CN"/>
        </w:rPr>
        <w:t>demonstrating of</w:t>
      </w:r>
      <w:r>
        <w:rPr>
          <w:rFonts w:hint="eastAsia"/>
          <w:lang w:eastAsia="zh-CN"/>
        </w:rPr>
        <w:t xml:space="preserve"> shared farm</w:t>
      </w:r>
      <w:r w:rsidR="0040571E">
        <w:rPr>
          <w:lang w:eastAsia="zh-CN"/>
        </w:rPr>
        <w:t xml:space="preserve"> </w:t>
      </w:r>
      <w:r>
        <w:rPr>
          <w:rFonts w:hint="eastAsia"/>
          <w:lang w:eastAsia="zh-CN"/>
        </w:rPr>
        <w:t>land, establish</w:t>
      </w:r>
      <w:r w:rsidR="0040571E">
        <w:rPr>
          <w:lang w:eastAsia="zh-CN"/>
        </w:rPr>
        <w:t>ing</w:t>
      </w:r>
      <w:r>
        <w:rPr>
          <w:rFonts w:hint="eastAsia"/>
          <w:lang w:eastAsia="zh-CN"/>
        </w:rPr>
        <w:t xml:space="preserve"> green agriculture, encouraging usage of natural gas in rural area,  promoti</w:t>
      </w:r>
      <w:r w:rsidR="0040571E">
        <w:rPr>
          <w:lang w:eastAsia="zh-CN"/>
        </w:rPr>
        <w:t>ng</w:t>
      </w:r>
      <w:r>
        <w:rPr>
          <w:rFonts w:hint="eastAsia"/>
          <w:lang w:eastAsia="zh-CN"/>
        </w:rPr>
        <w:t xml:space="preserve"> ecological migration,  protecti</w:t>
      </w:r>
      <w:r w:rsidR="0040571E">
        <w:rPr>
          <w:lang w:eastAsia="zh-CN"/>
        </w:rPr>
        <w:t>ng</w:t>
      </w:r>
      <w:r>
        <w:rPr>
          <w:rFonts w:hint="eastAsia"/>
          <w:lang w:eastAsia="zh-CN"/>
        </w:rPr>
        <w:t xml:space="preserve"> farmlands and populariz</w:t>
      </w:r>
      <w:r w:rsidR="0040571E">
        <w:rPr>
          <w:lang w:eastAsia="zh-CN"/>
        </w:rPr>
        <w:t>ing the concept of a</w:t>
      </w:r>
      <w:r>
        <w:rPr>
          <w:rFonts w:hint="eastAsia"/>
          <w:lang w:eastAsia="zh-CN"/>
        </w:rPr>
        <w:t xml:space="preserve"> circular economy</w:t>
      </w:r>
      <w:r>
        <w:rPr>
          <w:rFonts w:hint="eastAsia"/>
          <w:vertAlign w:val="superscript"/>
          <w:lang w:eastAsia="zh-CN"/>
        </w:rPr>
        <w:t xml:space="preserve"> 3</w:t>
      </w:r>
      <w:r>
        <w:rPr>
          <w:rFonts w:hint="eastAsia"/>
          <w:lang w:eastAsia="zh-CN"/>
        </w:rPr>
        <w:t xml:space="preserve">. </w:t>
      </w:r>
      <w:r w:rsidR="0040571E">
        <w:rPr>
          <w:lang w:eastAsia="zh-CN"/>
        </w:rPr>
        <w:t xml:space="preserve">This resolution contains no mention of </w:t>
      </w:r>
      <w:r>
        <w:rPr>
          <w:lang w:eastAsia="zh-CN"/>
        </w:rPr>
        <w:t>conservation</w:t>
      </w:r>
      <w:r>
        <w:rPr>
          <w:rFonts w:hint="eastAsia"/>
          <w:lang w:eastAsia="zh-CN"/>
        </w:rPr>
        <w:t xml:space="preserve"> of germplasms and sustainable use of agrobiodiversity. </w:t>
      </w:r>
    </w:p>
    <w:p w14:paraId="680CCF27" w14:textId="77777777" w:rsidR="00CB579F" w:rsidRDefault="00682679">
      <w:pPr>
        <w:pStyle w:val="Heading1"/>
        <w:rPr>
          <w:color w:val="002060"/>
        </w:rPr>
      </w:pPr>
      <w:r>
        <w:rPr>
          <w:color w:val="002060"/>
        </w:rPr>
        <w:t>Governance and Inter-sectoral Coordination</w:t>
      </w:r>
    </w:p>
    <w:p w14:paraId="4E74023A" w14:textId="77777777" w:rsidR="00CB579F" w:rsidRDefault="00682679">
      <w:pPr>
        <w:pStyle w:val="Heading2"/>
      </w:pPr>
      <w:r>
        <w:t>Baseline Analysis</w:t>
      </w:r>
    </w:p>
    <w:p w14:paraId="53865CF6" w14:textId="77777777" w:rsidR="00CB579F" w:rsidRDefault="00682679">
      <w:pPr>
        <w:rPr>
          <w:lang w:eastAsia="zh-CN"/>
        </w:rPr>
      </w:pPr>
      <w:bookmarkStart w:id="5" w:name="_Hlk534195801"/>
      <w:r>
        <w:rPr>
          <w:rFonts w:hint="eastAsia"/>
          <w:lang w:eastAsia="zh-CN"/>
        </w:rPr>
        <w:t xml:space="preserve">Several provincial government agencies are responsible for the conservation and sustainable use of agrobiodiversity in Hainan Province. There are four major agencies: </w:t>
      </w:r>
    </w:p>
    <w:p w14:paraId="64A926CD" w14:textId="77777777" w:rsidR="00CB579F" w:rsidRDefault="00682679">
      <w:pPr>
        <w:pStyle w:val="ListParagraph"/>
        <w:numPr>
          <w:ilvl w:val="0"/>
          <w:numId w:val="3"/>
        </w:numPr>
        <w:rPr>
          <w:lang w:eastAsia="zh-CN"/>
        </w:rPr>
      </w:pPr>
      <w:r>
        <w:rPr>
          <w:rFonts w:hint="eastAsia"/>
          <w:lang w:eastAsia="zh-CN"/>
        </w:rPr>
        <w:t>Department of Agriculture</w:t>
      </w:r>
      <w:r>
        <w:rPr>
          <w:lang w:eastAsia="zh-CN"/>
        </w:rPr>
        <w:t xml:space="preserve"> and Rural Affairs (DARA)</w:t>
      </w:r>
      <w:r>
        <w:rPr>
          <w:rFonts w:hint="eastAsia"/>
          <w:lang w:eastAsia="zh-CN"/>
        </w:rPr>
        <w:t>, which is responsible for in-situ and ex-situ conservation, use and commercialization of indigenous landraces of crops and livestock and wild species which are of potential importance for human foods;</w:t>
      </w:r>
      <w:r>
        <w:rPr>
          <w:lang w:eastAsia="zh-CN"/>
        </w:rPr>
        <w:t xml:space="preserve"> </w:t>
      </w:r>
    </w:p>
    <w:p w14:paraId="484273B8" w14:textId="77777777" w:rsidR="00CB579F" w:rsidRDefault="00682679">
      <w:pPr>
        <w:pStyle w:val="ListParagraph"/>
        <w:numPr>
          <w:ilvl w:val="0"/>
          <w:numId w:val="3"/>
        </w:numPr>
        <w:rPr>
          <w:lang w:eastAsia="zh-CN"/>
        </w:rPr>
      </w:pPr>
      <w:r>
        <w:rPr>
          <w:lang w:eastAsia="zh-CN"/>
        </w:rPr>
        <w:t>Department of Ecology and E</w:t>
      </w:r>
      <w:r>
        <w:rPr>
          <w:rFonts w:hint="eastAsia"/>
          <w:lang w:eastAsia="zh-CN"/>
        </w:rPr>
        <w:t xml:space="preserve">nvironmental, which mainly focus on ecosystem-level issues for biodiversity conservation; </w:t>
      </w:r>
    </w:p>
    <w:p w14:paraId="385E2D3D" w14:textId="77777777" w:rsidR="00CB579F" w:rsidRDefault="00682679">
      <w:pPr>
        <w:pStyle w:val="ListParagraph"/>
        <w:numPr>
          <w:ilvl w:val="0"/>
          <w:numId w:val="3"/>
        </w:numPr>
        <w:rPr>
          <w:lang w:eastAsia="zh-CN"/>
        </w:rPr>
      </w:pPr>
      <w:r>
        <w:rPr>
          <w:rFonts w:hint="eastAsia"/>
          <w:lang w:eastAsia="zh-CN"/>
        </w:rPr>
        <w:t>Department of</w:t>
      </w:r>
      <w:r>
        <w:rPr>
          <w:lang w:eastAsia="zh-CN"/>
        </w:rPr>
        <w:t xml:space="preserve"> Natural Resources, includes the</w:t>
      </w:r>
      <w:r>
        <w:rPr>
          <w:rFonts w:hint="eastAsia"/>
          <w:lang w:eastAsia="zh-CN"/>
        </w:rPr>
        <w:t xml:space="preserve"> Forestry</w:t>
      </w:r>
      <w:r>
        <w:rPr>
          <w:lang w:eastAsia="zh-CN"/>
        </w:rPr>
        <w:t xml:space="preserve"> Bureau</w:t>
      </w:r>
      <w:r>
        <w:rPr>
          <w:rFonts w:hint="eastAsia"/>
          <w:lang w:eastAsia="zh-CN"/>
        </w:rPr>
        <w:t xml:space="preserve">, which </w:t>
      </w:r>
      <w:r>
        <w:rPr>
          <w:lang w:eastAsia="zh-CN"/>
        </w:rPr>
        <w:t>is responsible for</w:t>
      </w:r>
      <w:r>
        <w:rPr>
          <w:rFonts w:hint="eastAsia"/>
          <w:lang w:eastAsia="zh-CN"/>
        </w:rPr>
        <w:t xml:space="preserve"> conservation of woodlands and under-forest crop plantation and livestock cultivation; </w:t>
      </w:r>
    </w:p>
    <w:p w14:paraId="0FFA5D5F" w14:textId="77777777" w:rsidR="00CB579F" w:rsidRDefault="00682679">
      <w:pPr>
        <w:pStyle w:val="ListParagraph"/>
        <w:numPr>
          <w:ilvl w:val="0"/>
          <w:numId w:val="3"/>
        </w:numPr>
        <w:rPr>
          <w:lang w:eastAsia="zh-CN"/>
        </w:rPr>
      </w:pPr>
      <w:r>
        <w:rPr>
          <w:rFonts w:hint="eastAsia"/>
          <w:lang w:eastAsia="zh-CN"/>
        </w:rPr>
        <w:t>Marine and Fishery Department, which concentrates on conservation of fish stock</w:t>
      </w:r>
      <w:r>
        <w:rPr>
          <w:lang w:eastAsia="zh-CN"/>
        </w:rPr>
        <w:t>s</w:t>
      </w:r>
      <w:r>
        <w:rPr>
          <w:rFonts w:hint="eastAsia"/>
          <w:lang w:eastAsia="zh-CN"/>
        </w:rPr>
        <w:t xml:space="preserve"> and</w:t>
      </w:r>
      <w:r>
        <w:rPr>
          <w:lang w:eastAsia="zh-CN"/>
        </w:rPr>
        <w:t xml:space="preserve"> other</w:t>
      </w:r>
      <w:r>
        <w:rPr>
          <w:rFonts w:hint="eastAsia"/>
          <w:lang w:eastAsia="zh-CN"/>
        </w:rPr>
        <w:t xml:space="preserve"> marine </w:t>
      </w:r>
      <w:r>
        <w:rPr>
          <w:lang w:eastAsia="zh-CN"/>
        </w:rPr>
        <w:t>resources</w:t>
      </w:r>
      <w:r>
        <w:rPr>
          <w:rFonts w:hint="eastAsia"/>
          <w:lang w:eastAsia="zh-CN"/>
        </w:rPr>
        <w:t xml:space="preserve">. </w:t>
      </w:r>
    </w:p>
    <w:p w14:paraId="12DCC1AF" w14:textId="77777777" w:rsidR="00CB579F" w:rsidRDefault="00682679">
      <w:pPr>
        <w:rPr>
          <w:lang w:eastAsia="zh-CN"/>
        </w:rPr>
      </w:pPr>
      <w:r>
        <w:rPr>
          <w:rFonts w:hint="eastAsia"/>
          <w:lang w:eastAsia="zh-CN"/>
        </w:rPr>
        <w:t xml:space="preserve">Moreover, several other provincial agencies play </w:t>
      </w:r>
      <w:r>
        <w:rPr>
          <w:lang w:eastAsia="zh-CN"/>
        </w:rPr>
        <w:t xml:space="preserve">supporting </w:t>
      </w:r>
      <w:r>
        <w:rPr>
          <w:rFonts w:hint="eastAsia"/>
          <w:lang w:eastAsia="zh-CN"/>
        </w:rPr>
        <w:t xml:space="preserve">roles </w:t>
      </w:r>
      <w:r>
        <w:rPr>
          <w:lang w:eastAsia="zh-CN"/>
        </w:rPr>
        <w:t>in</w:t>
      </w:r>
      <w:r>
        <w:rPr>
          <w:rFonts w:hint="eastAsia"/>
          <w:lang w:eastAsia="zh-CN"/>
        </w:rPr>
        <w:t xml:space="preserve"> the conservation and sustainable use of agrobiodiversity while fulfilling their work</w:t>
      </w:r>
      <w:r>
        <w:rPr>
          <w:lang w:eastAsia="zh-CN"/>
        </w:rPr>
        <w:t>. These other agencies</w:t>
      </w:r>
      <w:r>
        <w:rPr>
          <w:rFonts w:hint="eastAsia"/>
          <w:lang w:eastAsia="zh-CN"/>
        </w:rPr>
        <w:t xml:space="preserve"> include</w:t>
      </w:r>
      <w:r>
        <w:rPr>
          <w:lang w:eastAsia="zh-CN"/>
        </w:rPr>
        <w:t xml:space="preserve"> the</w:t>
      </w:r>
      <w:r>
        <w:rPr>
          <w:rFonts w:hint="eastAsia"/>
          <w:lang w:eastAsia="zh-CN"/>
        </w:rPr>
        <w:t xml:space="preserve"> Department of Science and Technology, Office of Poverty Alleviation, and Women</w:t>
      </w:r>
      <w:r>
        <w:rPr>
          <w:lang w:eastAsia="zh-CN"/>
        </w:rPr>
        <w:t>’</w:t>
      </w:r>
      <w:r>
        <w:rPr>
          <w:rFonts w:hint="eastAsia"/>
          <w:lang w:eastAsia="zh-CN"/>
        </w:rPr>
        <w:t xml:space="preserve">s Federation. </w:t>
      </w:r>
      <w:r>
        <w:rPr>
          <w:lang w:eastAsia="zh-CN"/>
        </w:rPr>
        <w:t>Although there are several agencies contributing towards</w:t>
      </w:r>
      <w:r>
        <w:rPr>
          <w:rFonts w:hint="eastAsia"/>
          <w:lang w:eastAsia="zh-CN"/>
        </w:rPr>
        <w:t xml:space="preserve"> conservation and sustainable use of agrobiodiversity</w:t>
      </w:r>
      <w:r>
        <w:rPr>
          <w:lang w:eastAsia="zh-CN"/>
        </w:rPr>
        <w:t xml:space="preserve">, there is limited intersectoral coordination, </w:t>
      </w:r>
      <w:r>
        <w:rPr>
          <w:rFonts w:hint="eastAsia"/>
          <w:lang w:eastAsia="zh-CN"/>
        </w:rPr>
        <w:t>resulting in policies, regulations and strategies</w:t>
      </w:r>
      <w:r>
        <w:rPr>
          <w:lang w:eastAsia="zh-CN"/>
        </w:rPr>
        <w:t xml:space="preserve"> that are</w:t>
      </w:r>
      <w:r>
        <w:rPr>
          <w:rFonts w:hint="eastAsia"/>
          <w:lang w:eastAsia="zh-CN"/>
        </w:rPr>
        <w:t xml:space="preserve"> disjoined, inconsistent, or even contradictory to each other.  In areas where mandates and </w:t>
      </w:r>
      <w:r>
        <w:rPr>
          <w:lang w:eastAsia="zh-CN"/>
        </w:rPr>
        <w:t>responsibilities</w:t>
      </w:r>
      <w:r>
        <w:rPr>
          <w:rFonts w:hint="eastAsia"/>
          <w:lang w:eastAsia="zh-CN"/>
        </w:rPr>
        <w:t xml:space="preserve"> overlap, absence of </w:t>
      </w:r>
      <w:r>
        <w:rPr>
          <w:lang w:eastAsia="zh-CN"/>
        </w:rPr>
        <w:t>administration</w:t>
      </w:r>
      <w:r>
        <w:rPr>
          <w:rFonts w:hint="eastAsia"/>
          <w:lang w:eastAsia="zh-CN"/>
        </w:rPr>
        <w:t xml:space="preserve"> commonly occur. Further, governments at city, county and township levels are responsible for administration of conservation and sustainable use practices of agrobiodiversity, but they usually do not work within an integrated provincial framework. </w:t>
      </w:r>
    </w:p>
    <w:p w14:paraId="39FF0495" w14:textId="132ECE3E" w:rsidR="00CB579F" w:rsidRDefault="00682679">
      <w:r>
        <w:rPr>
          <w:rFonts w:hint="eastAsia"/>
          <w:lang w:eastAsia="zh-CN"/>
        </w:rPr>
        <w:t>The government has realized the problems</w:t>
      </w:r>
      <w:r>
        <w:rPr>
          <w:lang w:eastAsia="zh-CN"/>
        </w:rPr>
        <w:t xml:space="preserve"> outlined above</w:t>
      </w:r>
      <w:r>
        <w:rPr>
          <w:rFonts w:hint="eastAsia"/>
          <w:lang w:eastAsia="zh-CN"/>
        </w:rPr>
        <w:t xml:space="preserve"> and </w:t>
      </w:r>
      <w:r>
        <w:rPr>
          <w:lang w:eastAsia="zh-CN"/>
        </w:rPr>
        <w:t xml:space="preserve">has </w:t>
      </w:r>
      <w:r>
        <w:rPr>
          <w:rFonts w:hint="eastAsia"/>
          <w:lang w:eastAsia="zh-CN"/>
        </w:rPr>
        <w:t>started to make changes. In late 2017, the provincial government issued</w:t>
      </w:r>
      <w:r>
        <w:rPr>
          <w:lang w:eastAsia="zh-CN"/>
        </w:rPr>
        <w:t xml:space="preserve"> an</w:t>
      </w:r>
      <w:r>
        <w:rPr>
          <w:rFonts w:hint="eastAsia"/>
          <w:i/>
          <w:lang w:eastAsia="zh-CN"/>
        </w:rPr>
        <w:t xml:space="preserve"> </w:t>
      </w:r>
      <w:r>
        <w:rPr>
          <w:i/>
          <w:lang w:eastAsia="zh-CN"/>
        </w:rPr>
        <w:t xml:space="preserve">Implementation </w:t>
      </w:r>
      <w:r>
        <w:rPr>
          <w:rFonts w:hint="eastAsia"/>
          <w:i/>
          <w:lang w:eastAsia="zh-CN"/>
        </w:rPr>
        <w:t>Guideline</w:t>
      </w:r>
      <w:r>
        <w:rPr>
          <w:i/>
          <w:lang w:eastAsia="zh-CN"/>
        </w:rPr>
        <w:t xml:space="preserve"> on</w:t>
      </w:r>
      <w:r>
        <w:rPr>
          <w:rFonts w:hint="eastAsia"/>
          <w:i/>
          <w:lang w:eastAsia="zh-CN"/>
        </w:rPr>
        <w:t xml:space="preserve"> E</w:t>
      </w:r>
      <w:r>
        <w:rPr>
          <w:i/>
          <w:lang w:eastAsia="zh-CN"/>
        </w:rPr>
        <w:t>co</w:t>
      </w:r>
      <w:r>
        <w:rPr>
          <w:rFonts w:hint="eastAsia"/>
          <w:i/>
          <w:lang w:eastAsia="zh-CN"/>
        </w:rPr>
        <w:t>-</w:t>
      </w:r>
      <w:r>
        <w:rPr>
          <w:i/>
          <w:lang w:eastAsia="zh-CN"/>
        </w:rPr>
        <w:t xml:space="preserve">compensation </w:t>
      </w:r>
      <w:r>
        <w:rPr>
          <w:rFonts w:hint="eastAsia"/>
          <w:i/>
          <w:lang w:eastAsia="zh-CN"/>
        </w:rPr>
        <w:t>M</w:t>
      </w:r>
      <w:r>
        <w:rPr>
          <w:i/>
          <w:lang w:eastAsia="zh-CN"/>
        </w:rPr>
        <w:t>echanisms</w:t>
      </w:r>
      <w:r>
        <w:rPr>
          <w:rFonts w:hint="eastAsia"/>
          <w:lang w:eastAsia="zh-CN"/>
        </w:rPr>
        <w:t xml:space="preserve">, </w:t>
      </w:r>
      <w:r>
        <w:rPr>
          <w:lang w:eastAsia="zh-CN"/>
        </w:rPr>
        <w:t>which calls</w:t>
      </w:r>
      <w:r>
        <w:rPr>
          <w:rFonts w:hint="eastAsia"/>
          <w:lang w:eastAsia="zh-CN"/>
        </w:rPr>
        <w:t xml:space="preserve"> for s</w:t>
      </w:r>
      <w:r>
        <w:rPr>
          <w:lang w:eastAsia="zh-CN"/>
        </w:rPr>
        <w:t>trengthen</w:t>
      </w:r>
      <w:r>
        <w:rPr>
          <w:rFonts w:hint="eastAsia"/>
          <w:lang w:eastAsia="zh-CN"/>
        </w:rPr>
        <w:t>ed</w:t>
      </w:r>
      <w:r>
        <w:rPr>
          <w:lang w:eastAsia="zh-CN"/>
        </w:rPr>
        <w:t xml:space="preserve"> organizational leadership and establish</w:t>
      </w:r>
      <w:r>
        <w:rPr>
          <w:rFonts w:hint="eastAsia"/>
          <w:lang w:eastAsia="zh-CN"/>
        </w:rPr>
        <w:t>ment of</w:t>
      </w:r>
      <w:r>
        <w:rPr>
          <w:lang w:eastAsia="zh-CN"/>
        </w:rPr>
        <w:t xml:space="preserve"> intersectoral </w:t>
      </w:r>
      <w:r>
        <w:rPr>
          <w:rFonts w:hint="eastAsia"/>
          <w:lang w:eastAsia="zh-CN"/>
        </w:rPr>
        <w:t>coordination</w:t>
      </w:r>
      <w:r>
        <w:rPr>
          <w:lang w:eastAsia="zh-CN"/>
        </w:rPr>
        <w:t xml:space="preserve"> mechanism. The guideline further indicates that </w:t>
      </w:r>
      <w:r>
        <w:rPr>
          <w:rFonts w:hint="eastAsia"/>
          <w:lang w:eastAsia="zh-CN"/>
        </w:rPr>
        <w:t>t</w:t>
      </w:r>
      <w:r>
        <w:rPr>
          <w:lang w:eastAsia="zh-CN"/>
        </w:rPr>
        <w:t>he Provincial Development and Reform Commission and the Provincial Department of Finance shall establish coordination mechanisms with relevant departments to strengthen coordination of ecological protection compensation across administrative regions, to develop and a monitoring and evaluation policy, and to solve problems in the implementation of ecological protection compensation mechanisms. Each department shall formulate specific implementation plans according to job responsibilities, assign responsibility for delegating tasks at different levels, strengthen departmental linkages, and jointly promote the smooth implementation of various tasks.</w:t>
      </w:r>
      <w:r>
        <w:rPr>
          <w:rFonts w:hint="eastAsia"/>
          <w:lang w:eastAsia="zh-CN"/>
        </w:rPr>
        <w:t xml:space="preserve"> This is a good </w:t>
      </w:r>
      <w:r>
        <w:rPr>
          <w:lang w:eastAsia="zh-CN"/>
        </w:rPr>
        <w:t>beginning</w:t>
      </w:r>
      <w:r>
        <w:rPr>
          <w:rFonts w:hint="eastAsia"/>
          <w:lang w:eastAsia="zh-CN"/>
        </w:rPr>
        <w:t xml:space="preserve">, but the current situation is far from integrated and </w:t>
      </w:r>
      <w:r>
        <w:rPr>
          <w:lang w:eastAsia="zh-CN"/>
        </w:rPr>
        <w:t xml:space="preserve">not sufficiently </w:t>
      </w:r>
      <w:r>
        <w:rPr>
          <w:rFonts w:hint="eastAsia"/>
          <w:lang w:eastAsia="zh-CN"/>
        </w:rPr>
        <w:t xml:space="preserve">coordinated </w:t>
      </w:r>
      <w:r>
        <w:rPr>
          <w:lang w:eastAsia="zh-CN"/>
        </w:rPr>
        <w:t>to effective guide and supervise the</w:t>
      </w:r>
      <w:r>
        <w:rPr>
          <w:rFonts w:hint="eastAsia"/>
          <w:lang w:eastAsia="zh-CN"/>
        </w:rPr>
        <w:t xml:space="preserve"> implementation of conservation and sustainable use of traditional crops and livestock endemic to Hainan</w:t>
      </w:r>
      <w:bookmarkEnd w:id="5"/>
      <w:r>
        <w:rPr>
          <w:rFonts w:hint="eastAsia"/>
          <w:lang w:eastAsia="zh-CN"/>
        </w:rPr>
        <w:t xml:space="preserve">. </w:t>
      </w:r>
    </w:p>
    <w:p w14:paraId="2BF6B70E" w14:textId="77777777" w:rsidR="00CB579F" w:rsidRDefault="00682679">
      <w:pPr>
        <w:pStyle w:val="Heading1"/>
        <w:rPr>
          <w:color w:val="002060"/>
        </w:rPr>
      </w:pPr>
      <w:r>
        <w:rPr>
          <w:color w:val="002060"/>
        </w:rPr>
        <w:t>Eco-Compensation, Eco-Certification and other Incentive Mechanisms</w:t>
      </w:r>
    </w:p>
    <w:p w14:paraId="32D95473" w14:textId="77777777" w:rsidR="00CB579F" w:rsidRDefault="00682679">
      <w:pPr>
        <w:pStyle w:val="Heading2"/>
      </w:pPr>
      <w:r>
        <w:t>Baseline Analysis</w:t>
      </w:r>
    </w:p>
    <w:p w14:paraId="56899ABD" w14:textId="77777777" w:rsidR="00CB579F" w:rsidRDefault="00682679">
      <w:r>
        <w:rPr>
          <w:b/>
        </w:rPr>
        <w:t>Eco-Compensation:</w:t>
      </w:r>
    </w:p>
    <w:p w14:paraId="78023221" w14:textId="264CAC2F" w:rsidR="00CB579F" w:rsidRDefault="003B29BC">
      <w:pPr>
        <w:rPr>
          <w:lang w:eastAsia="zh-CN"/>
        </w:rPr>
      </w:pPr>
      <w:r>
        <w:rPr>
          <w:lang w:eastAsia="zh-CN"/>
        </w:rPr>
        <w:t>In Hainan province, there are e</w:t>
      </w:r>
      <w:r w:rsidR="00682679">
        <w:rPr>
          <w:rFonts w:hint="eastAsia"/>
          <w:lang w:eastAsia="zh-CN"/>
        </w:rPr>
        <w:t>co-composition programs are</w:t>
      </w:r>
      <w:r>
        <w:rPr>
          <w:lang w:eastAsia="zh-CN"/>
        </w:rPr>
        <w:t xml:space="preserve"> led by both the central and provincial government. And, there is a </w:t>
      </w:r>
      <w:r w:rsidR="00682679">
        <w:rPr>
          <w:rFonts w:hint="eastAsia"/>
          <w:lang w:eastAsia="zh-CN"/>
        </w:rPr>
        <w:t xml:space="preserve">county-level horizontal eco-composition </w:t>
      </w:r>
      <w:r w:rsidR="00682679" w:rsidRPr="003B29BC">
        <w:rPr>
          <w:rFonts w:hint="eastAsia"/>
          <w:lang w:eastAsia="zh-CN"/>
        </w:rPr>
        <w:t xml:space="preserve">program </w:t>
      </w:r>
      <w:r w:rsidRPr="003B29BC">
        <w:rPr>
          <w:lang w:eastAsia="zh-CN"/>
        </w:rPr>
        <w:t xml:space="preserve">implemented in </w:t>
      </w:r>
      <w:r w:rsidR="00682679" w:rsidRPr="003B29BC">
        <w:rPr>
          <w:lang w:eastAsia="zh-CN"/>
        </w:rPr>
        <w:t xml:space="preserve">Lingshui County </w:t>
      </w:r>
      <w:r w:rsidRPr="003B29BC">
        <w:rPr>
          <w:lang w:eastAsia="zh-CN"/>
        </w:rPr>
        <w:t>and</w:t>
      </w:r>
      <w:r w:rsidR="00682679" w:rsidRPr="003B29BC">
        <w:rPr>
          <w:lang w:eastAsia="zh-CN"/>
        </w:rPr>
        <w:t xml:space="preserve"> Qiongzhong County</w:t>
      </w:r>
      <w:r w:rsidR="00682679" w:rsidRPr="003B29BC">
        <w:rPr>
          <w:rFonts w:hint="eastAsia"/>
          <w:lang w:eastAsia="zh-CN"/>
        </w:rPr>
        <w:t xml:space="preserve">, </w:t>
      </w:r>
      <w:r w:rsidRPr="003B29BC">
        <w:rPr>
          <w:lang w:eastAsia="zh-CN"/>
        </w:rPr>
        <w:t>focused</w:t>
      </w:r>
      <w:r>
        <w:rPr>
          <w:lang w:eastAsia="zh-CN"/>
        </w:rPr>
        <w:t xml:space="preserve"> on environment and ecosystem protection. T</w:t>
      </w:r>
      <w:r w:rsidR="00682679">
        <w:rPr>
          <w:rFonts w:hint="eastAsia"/>
          <w:lang w:eastAsia="zh-CN"/>
        </w:rPr>
        <w:t xml:space="preserve">he </w:t>
      </w:r>
      <w:r>
        <w:rPr>
          <w:lang w:eastAsia="zh-CN"/>
        </w:rPr>
        <w:t xml:space="preserve">funding level of the country program is small compared to the central and provincial government programs. </w:t>
      </w:r>
    </w:p>
    <w:p w14:paraId="59A5E939" w14:textId="3C5BC413" w:rsidR="00CB579F" w:rsidRDefault="00682679">
      <w:pPr>
        <w:rPr>
          <w:lang w:eastAsia="zh-CN"/>
        </w:rPr>
      </w:pPr>
      <w:r>
        <w:t xml:space="preserve">A summary of current eco-compensation programs in the province is presented below in </w:t>
      </w:r>
      <w:r>
        <w:rPr>
          <w:b/>
        </w:rPr>
        <w:t>Table K-1</w:t>
      </w:r>
      <w:r>
        <w:t>.</w:t>
      </w:r>
      <w:r>
        <w:rPr>
          <w:rFonts w:hint="eastAsia"/>
          <w:lang w:eastAsia="zh-CN"/>
        </w:rPr>
        <w:t xml:space="preserve"> As shown in the table, the programs cover several aspects, including subsid</w:t>
      </w:r>
      <w:r w:rsidR="003B29BC">
        <w:rPr>
          <w:lang w:eastAsia="zh-CN"/>
        </w:rPr>
        <w:t>ies</w:t>
      </w:r>
      <w:r>
        <w:rPr>
          <w:rFonts w:hint="eastAsia"/>
          <w:lang w:eastAsia="zh-CN"/>
        </w:rPr>
        <w:t xml:space="preserve"> for farmers</w:t>
      </w:r>
      <w:r>
        <w:rPr>
          <w:lang w:eastAsia="zh-CN"/>
        </w:rPr>
        <w:t>’</w:t>
      </w:r>
      <w:r>
        <w:rPr>
          <w:rFonts w:hint="eastAsia"/>
          <w:lang w:eastAsia="zh-CN"/>
        </w:rPr>
        <w:t xml:space="preserve"> loss in </w:t>
      </w:r>
      <w:r>
        <w:rPr>
          <w:lang w:eastAsia="zh-CN"/>
        </w:rPr>
        <w:t>conservation</w:t>
      </w:r>
      <w:r>
        <w:rPr>
          <w:rFonts w:hint="eastAsia"/>
          <w:lang w:eastAsia="zh-CN"/>
        </w:rPr>
        <w:t xml:space="preserve"> of cultivated lands, fulfilling high-efficiency agriculture, compensation for construction of agriculture facilities, leisure agriculture development, recovery of forests and nature reserve construction. The funds are majorly provided by central government and provincial agencies, and there </w:t>
      </w:r>
      <w:r w:rsidR="003B29BC">
        <w:rPr>
          <w:lang w:eastAsia="zh-CN"/>
        </w:rPr>
        <w:t>is a</w:t>
      </w:r>
      <w:r>
        <w:rPr>
          <w:rFonts w:hint="eastAsia"/>
          <w:lang w:eastAsia="zh-CN"/>
        </w:rPr>
        <w:t xml:space="preserve"> small-scale horizontal program available, too. However, there is no program available or under development specifically for conservation and sustainable uses of agrobiodiversity in Hainan. </w:t>
      </w:r>
    </w:p>
    <w:p w14:paraId="4CF11FE0" w14:textId="77777777" w:rsidR="00CB579F" w:rsidRDefault="00682679">
      <w:pPr>
        <w:spacing w:before="0" w:after="60"/>
        <w:jc w:val="center"/>
        <w:rPr>
          <w:i/>
          <w:sz w:val="18"/>
        </w:rPr>
      </w:pPr>
      <w:r>
        <w:rPr>
          <w:b/>
          <w:i/>
          <w:sz w:val="18"/>
        </w:rPr>
        <w:t>Table K-1</w:t>
      </w:r>
      <w:r>
        <w:rPr>
          <w:i/>
          <w:sz w:val="18"/>
        </w:rPr>
        <w:t xml:space="preserve">: List of Eco-compensation in Active at Hubei </w:t>
      </w:r>
      <w:r>
        <w:rPr>
          <w:rFonts w:hint="eastAsia"/>
          <w:i/>
          <w:sz w:val="18"/>
          <w:lang w:eastAsia="zh-CN"/>
        </w:rPr>
        <w:t>province</w:t>
      </w:r>
    </w:p>
    <w:tbl>
      <w:tblPr>
        <w:tblStyle w:val="TableGrid"/>
        <w:tblW w:w="9445" w:type="dxa"/>
        <w:jc w:val="center"/>
        <w:tblLayout w:type="fixed"/>
        <w:tblLook w:val="04A0" w:firstRow="1" w:lastRow="0" w:firstColumn="1" w:lastColumn="0" w:noHBand="0" w:noVBand="1"/>
      </w:tblPr>
      <w:tblGrid>
        <w:gridCol w:w="2065"/>
        <w:gridCol w:w="2075"/>
        <w:gridCol w:w="1710"/>
        <w:gridCol w:w="3595"/>
      </w:tblGrid>
      <w:tr w:rsidR="00013E9E" w14:paraId="2F921899" w14:textId="77777777" w:rsidTr="00013E9E">
        <w:trPr>
          <w:tblHeader/>
          <w:jc w:val="center"/>
        </w:trPr>
        <w:tc>
          <w:tcPr>
            <w:tcW w:w="2065" w:type="dxa"/>
            <w:shd w:val="clear" w:color="auto" w:fill="EEECE1" w:themeFill="background2"/>
          </w:tcPr>
          <w:p w14:paraId="5960AAFE" w14:textId="77777777" w:rsidR="00013E9E" w:rsidRDefault="00013E9E">
            <w:pPr>
              <w:spacing w:before="40" w:after="40"/>
              <w:jc w:val="center"/>
              <w:rPr>
                <w:rFonts w:cstheme="minorHAnsi"/>
                <w:b/>
                <w:sz w:val="16"/>
              </w:rPr>
            </w:pPr>
            <w:r>
              <w:rPr>
                <w:rFonts w:cstheme="minorHAnsi"/>
                <w:b/>
                <w:sz w:val="16"/>
              </w:rPr>
              <w:t>Program</w:t>
            </w:r>
          </w:p>
        </w:tc>
        <w:tc>
          <w:tcPr>
            <w:tcW w:w="2075" w:type="dxa"/>
            <w:shd w:val="clear" w:color="auto" w:fill="EEECE1" w:themeFill="background2"/>
          </w:tcPr>
          <w:p w14:paraId="6C8CAB36" w14:textId="77777777" w:rsidR="00013E9E" w:rsidRDefault="00013E9E">
            <w:pPr>
              <w:spacing w:before="40" w:after="40"/>
              <w:jc w:val="center"/>
              <w:rPr>
                <w:rFonts w:cstheme="minorHAnsi"/>
                <w:b/>
                <w:sz w:val="16"/>
              </w:rPr>
            </w:pPr>
            <w:r>
              <w:rPr>
                <w:rFonts w:cstheme="minorHAnsi"/>
                <w:b/>
                <w:sz w:val="16"/>
              </w:rPr>
              <w:t>Lead Agency</w:t>
            </w:r>
          </w:p>
        </w:tc>
        <w:tc>
          <w:tcPr>
            <w:tcW w:w="1710" w:type="dxa"/>
            <w:shd w:val="clear" w:color="auto" w:fill="EEECE1" w:themeFill="background2"/>
          </w:tcPr>
          <w:p w14:paraId="6B9127C2" w14:textId="77777777" w:rsidR="00013E9E" w:rsidRDefault="00013E9E">
            <w:pPr>
              <w:spacing w:before="40" w:after="40"/>
              <w:jc w:val="center"/>
              <w:rPr>
                <w:rFonts w:cstheme="minorHAnsi"/>
                <w:b/>
                <w:sz w:val="16"/>
              </w:rPr>
            </w:pPr>
            <w:r>
              <w:rPr>
                <w:rFonts w:cstheme="minorHAnsi"/>
                <w:b/>
                <w:sz w:val="16"/>
              </w:rPr>
              <w:t>Funding</w:t>
            </w:r>
          </w:p>
        </w:tc>
        <w:tc>
          <w:tcPr>
            <w:tcW w:w="3595" w:type="dxa"/>
            <w:shd w:val="clear" w:color="auto" w:fill="EEECE1" w:themeFill="background2"/>
          </w:tcPr>
          <w:p w14:paraId="6BBC3D8C" w14:textId="77777777" w:rsidR="00013E9E" w:rsidRDefault="00013E9E">
            <w:pPr>
              <w:spacing w:before="40" w:after="40"/>
              <w:jc w:val="center"/>
              <w:rPr>
                <w:rFonts w:cstheme="minorHAnsi"/>
                <w:b/>
                <w:sz w:val="16"/>
              </w:rPr>
            </w:pPr>
            <w:r>
              <w:rPr>
                <w:rFonts w:cstheme="minorHAnsi"/>
                <w:b/>
                <w:sz w:val="16"/>
              </w:rPr>
              <w:t>Objectives</w:t>
            </w:r>
          </w:p>
        </w:tc>
      </w:tr>
      <w:tr w:rsidR="00013E9E" w14:paraId="0C1B3BFE" w14:textId="77777777" w:rsidTr="00013E9E">
        <w:trPr>
          <w:jc w:val="center"/>
        </w:trPr>
        <w:tc>
          <w:tcPr>
            <w:tcW w:w="2065" w:type="dxa"/>
          </w:tcPr>
          <w:p w14:paraId="12C67F6D" w14:textId="77777777" w:rsidR="00013E9E" w:rsidRDefault="00013E9E">
            <w:pPr>
              <w:spacing w:before="40" w:after="40"/>
              <w:jc w:val="left"/>
              <w:rPr>
                <w:rFonts w:cstheme="minorHAnsi"/>
                <w:sz w:val="16"/>
                <w:lang w:eastAsia="zh-CN"/>
              </w:rPr>
            </w:pPr>
            <w:r>
              <w:rPr>
                <w:rFonts w:cstheme="minorHAnsi"/>
                <w:sz w:val="16"/>
                <w:lang w:eastAsia="zh-CN"/>
              </w:rPr>
              <w:t>2018 Agricultural Support Protection Subsidy Fund (Cultivated Land Conservation Protection Subsidy)</w:t>
            </w:r>
          </w:p>
        </w:tc>
        <w:tc>
          <w:tcPr>
            <w:tcW w:w="2075" w:type="dxa"/>
          </w:tcPr>
          <w:p w14:paraId="641323E8" w14:textId="77777777" w:rsidR="00013E9E" w:rsidRDefault="00013E9E">
            <w:pPr>
              <w:spacing w:before="40" w:after="40"/>
              <w:jc w:val="left"/>
              <w:rPr>
                <w:rFonts w:cstheme="minorHAnsi"/>
                <w:sz w:val="16"/>
                <w:lang w:eastAsia="zh-CN"/>
              </w:rPr>
            </w:pPr>
            <w:r>
              <w:rPr>
                <w:rFonts w:cstheme="minorHAnsi"/>
                <w:sz w:val="16"/>
                <w:lang w:eastAsia="zh-CN"/>
              </w:rPr>
              <w:t>Central Government of People’s Republic of China</w:t>
            </w:r>
          </w:p>
        </w:tc>
        <w:tc>
          <w:tcPr>
            <w:tcW w:w="1710" w:type="dxa"/>
          </w:tcPr>
          <w:p w14:paraId="4D5554AC" w14:textId="3AF98A65" w:rsidR="00013E9E" w:rsidRDefault="00013E9E">
            <w:pPr>
              <w:spacing w:before="40" w:after="40"/>
              <w:jc w:val="left"/>
              <w:rPr>
                <w:rFonts w:cstheme="minorHAnsi"/>
                <w:sz w:val="16"/>
                <w:lang w:eastAsia="zh-CN"/>
              </w:rPr>
            </w:pPr>
            <w:r>
              <w:rPr>
                <w:rFonts w:cstheme="minorHAnsi" w:hint="eastAsia"/>
                <w:sz w:val="16"/>
                <w:lang w:eastAsia="zh-CN"/>
              </w:rPr>
              <w:t>C</w:t>
            </w:r>
            <w:r>
              <w:rPr>
                <w:rFonts w:cstheme="minorHAnsi"/>
                <w:sz w:val="16"/>
                <w:lang w:eastAsia="zh-CN"/>
              </w:rPr>
              <w:t>NY 491.16  (approx. USD 72 million)</w:t>
            </w:r>
          </w:p>
        </w:tc>
        <w:tc>
          <w:tcPr>
            <w:tcW w:w="3595" w:type="dxa"/>
          </w:tcPr>
          <w:p w14:paraId="1526C9DF" w14:textId="36568AE3" w:rsidR="00013E9E" w:rsidRDefault="00013E9E">
            <w:pPr>
              <w:spacing w:before="40" w:after="40"/>
              <w:jc w:val="left"/>
              <w:rPr>
                <w:rFonts w:cstheme="minorHAnsi"/>
                <w:sz w:val="16"/>
                <w:lang w:eastAsia="zh-CN"/>
              </w:rPr>
            </w:pPr>
            <w:r>
              <w:rPr>
                <w:rFonts w:cstheme="minorHAnsi"/>
                <w:sz w:val="16"/>
                <w:lang w:eastAsia="zh-CN"/>
              </w:rPr>
              <w:t xml:space="preserve">Subsidy for farmers in </w:t>
            </w:r>
            <w:r>
              <w:rPr>
                <w:rFonts w:cstheme="minorHAnsi" w:hint="eastAsia"/>
                <w:sz w:val="16"/>
                <w:lang w:eastAsia="zh-CN"/>
              </w:rPr>
              <w:t xml:space="preserve">farmland protection </w:t>
            </w:r>
            <w:r>
              <w:rPr>
                <w:rFonts w:cstheme="minorHAnsi"/>
                <w:sz w:val="16"/>
                <w:lang w:eastAsia="zh-CN"/>
              </w:rPr>
              <w:t>in Hainan.</w:t>
            </w:r>
          </w:p>
        </w:tc>
      </w:tr>
      <w:tr w:rsidR="00013E9E" w14:paraId="2AC181F6" w14:textId="77777777" w:rsidTr="00013E9E">
        <w:trPr>
          <w:jc w:val="center"/>
        </w:trPr>
        <w:tc>
          <w:tcPr>
            <w:tcW w:w="2065" w:type="dxa"/>
          </w:tcPr>
          <w:p w14:paraId="0BD939CC" w14:textId="77777777" w:rsidR="00013E9E" w:rsidRDefault="00013E9E">
            <w:pPr>
              <w:spacing w:before="40" w:after="40"/>
              <w:jc w:val="left"/>
              <w:rPr>
                <w:rFonts w:cstheme="minorHAnsi"/>
                <w:sz w:val="16"/>
                <w:lang w:eastAsia="zh-CN"/>
              </w:rPr>
            </w:pPr>
            <w:r>
              <w:rPr>
                <w:rFonts w:cstheme="minorHAnsi"/>
                <w:sz w:val="16"/>
                <w:lang w:eastAsia="zh-CN"/>
              </w:rPr>
              <w:t>2018 Tropical Characteristic High-efficiency Agriculture Development Fund</w:t>
            </w:r>
          </w:p>
        </w:tc>
        <w:tc>
          <w:tcPr>
            <w:tcW w:w="2075" w:type="dxa"/>
          </w:tcPr>
          <w:p w14:paraId="278AF544" w14:textId="77777777" w:rsidR="00013E9E" w:rsidRDefault="00013E9E">
            <w:pPr>
              <w:spacing w:before="40" w:after="40"/>
              <w:jc w:val="left"/>
              <w:rPr>
                <w:rFonts w:cstheme="minorHAnsi"/>
                <w:sz w:val="16"/>
                <w:lang w:eastAsia="zh-CN"/>
              </w:rPr>
            </w:pPr>
            <w:r>
              <w:rPr>
                <w:rFonts w:cstheme="minorHAnsi"/>
                <w:sz w:val="16"/>
                <w:lang w:eastAsia="zh-CN"/>
              </w:rPr>
              <w:t>Provincial Government of Hainan</w:t>
            </w:r>
          </w:p>
        </w:tc>
        <w:tc>
          <w:tcPr>
            <w:tcW w:w="1710" w:type="dxa"/>
          </w:tcPr>
          <w:p w14:paraId="18F00759" w14:textId="5B16C432" w:rsidR="00013E9E" w:rsidRDefault="00013E9E">
            <w:pPr>
              <w:spacing w:before="40" w:after="40"/>
              <w:jc w:val="left"/>
              <w:rPr>
                <w:rFonts w:cstheme="minorHAnsi"/>
                <w:sz w:val="16"/>
                <w:lang w:eastAsia="zh-CN"/>
              </w:rPr>
            </w:pPr>
            <w:r>
              <w:rPr>
                <w:rFonts w:cstheme="minorHAnsi" w:hint="eastAsia"/>
                <w:sz w:val="16"/>
                <w:lang w:eastAsia="zh-CN"/>
              </w:rPr>
              <w:t>C</w:t>
            </w:r>
            <w:r>
              <w:rPr>
                <w:rFonts w:cstheme="minorHAnsi"/>
                <w:sz w:val="16"/>
                <w:lang w:eastAsia="zh-CN"/>
              </w:rPr>
              <w:t>NY 4</w:t>
            </w:r>
            <w:r>
              <w:rPr>
                <w:rFonts w:cstheme="minorHAnsi" w:hint="eastAsia"/>
                <w:sz w:val="16"/>
                <w:lang w:eastAsia="zh-CN"/>
              </w:rPr>
              <w:t>38</w:t>
            </w:r>
            <w:r>
              <w:rPr>
                <w:rFonts w:cstheme="minorHAnsi"/>
                <w:sz w:val="16"/>
                <w:lang w:eastAsia="zh-CN"/>
              </w:rPr>
              <w:t xml:space="preserve">.75 (approx. USD </w:t>
            </w:r>
            <w:r>
              <w:rPr>
                <w:rFonts w:cstheme="minorHAnsi" w:hint="eastAsia"/>
                <w:sz w:val="16"/>
                <w:lang w:eastAsia="zh-CN"/>
              </w:rPr>
              <w:t>64</w:t>
            </w:r>
            <w:r>
              <w:rPr>
                <w:rFonts w:cstheme="minorHAnsi"/>
                <w:sz w:val="16"/>
                <w:lang w:eastAsia="zh-CN"/>
              </w:rPr>
              <w:t xml:space="preserve"> million)</w:t>
            </w:r>
          </w:p>
        </w:tc>
        <w:tc>
          <w:tcPr>
            <w:tcW w:w="3595" w:type="dxa"/>
          </w:tcPr>
          <w:p w14:paraId="57211222" w14:textId="77777777" w:rsidR="00013E9E" w:rsidRDefault="00013E9E">
            <w:pPr>
              <w:spacing w:before="40" w:after="40"/>
              <w:jc w:val="left"/>
              <w:rPr>
                <w:rFonts w:cstheme="minorHAnsi"/>
                <w:sz w:val="16"/>
                <w:lang w:eastAsia="zh-CN"/>
              </w:rPr>
            </w:pPr>
            <w:r>
              <w:rPr>
                <w:rFonts w:cstheme="minorHAnsi" w:hint="eastAsia"/>
                <w:sz w:val="16"/>
                <w:lang w:eastAsia="zh-CN"/>
              </w:rPr>
              <w:t xml:space="preserve">Subsidy for farmers to fulfill high-efficiency agriculture, including approaches of sustainable utilization of agrobiodiversity. </w:t>
            </w:r>
          </w:p>
        </w:tc>
      </w:tr>
      <w:tr w:rsidR="00013E9E" w14:paraId="2452C4ED" w14:textId="77777777" w:rsidTr="00013E9E">
        <w:trPr>
          <w:jc w:val="center"/>
        </w:trPr>
        <w:tc>
          <w:tcPr>
            <w:tcW w:w="2065" w:type="dxa"/>
          </w:tcPr>
          <w:p w14:paraId="5CA38B83" w14:textId="77777777" w:rsidR="00013E9E" w:rsidRDefault="00013E9E">
            <w:pPr>
              <w:spacing w:before="40" w:after="40"/>
              <w:jc w:val="left"/>
              <w:rPr>
                <w:rFonts w:cstheme="minorHAnsi"/>
                <w:sz w:val="16"/>
                <w:lang w:eastAsia="zh-CN"/>
              </w:rPr>
            </w:pPr>
            <w:r>
              <w:rPr>
                <w:rFonts w:cstheme="minorHAnsi"/>
                <w:sz w:val="16"/>
                <w:lang w:eastAsia="zh-CN"/>
              </w:rPr>
              <w:t>2018 Agricultural Project Funds (First Batch)</w:t>
            </w:r>
          </w:p>
        </w:tc>
        <w:tc>
          <w:tcPr>
            <w:tcW w:w="2075" w:type="dxa"/>
          </w:tcPr>
          <w:p w14:paraId="092C15EE" w14:textId="77777777" w:rsidR="00013E9E" w:rsidRDefault="00013E9E">
            <w:pPr>
              <w:spacing w:before="40" w:after="40"/>
              <w:jc w:val="left"/>
              <w:rPr>
                <w:rFonts w:cstheme="minorHAnsi"/>
                <w:sz w:val="16"/>
                <w:lang w:eastAsia="zh-CN"/>
              </w:rPr>
            </w:pPr>
            <w:r>
              <w:rPr>
                <w:rFonts w:cstheme="minorHAnsi"/>
                <w:sz w:val="16"/>
                <w:lang w:eastAsia="zh-CN"/>
              </w:rPr>
              <w:t>Provincial Government of Hainan</w:t>
            </w:r>
          </w:p>
        </w:tc>
        <w:tc>
          <w:tcPr>
            <w:tcW w:w="1710" w:type="dxa"/>
          </w:tcPr>
          <w:p w14:paraId="7B52102B" w14:textId="7D7822E8" w:rsidR="00013E9E" w:rsidRDefault="00013E9E">
            <w:pPr>
              <w:spacing w:before="40" w:after="40"/>
              <w:jc w:val="left"/>
              <w:rPr>
                <w:rFonts w:cstheme="minorHAnsi"/>
                <w:sz w:val="16"/>
                <w:lang w:eastAsia="zh-CN"/>
              </w:rPr>
            </w:pPr>
            <w:r>
              <w:rPr>
                <w:rFonts w:cstheme="minorHAnsi" w:hint="eastAsia"/>
                <w:sz w:val="16"/>
                <w:lang w:eastAsia="zh-CN"/>
              </w:rPr>
              <w:t>C</w:t>
            </w:r>
            <w:r>
              <w:rPr>
                <w:rFonts w:cstheme="minorHAnsi"/>
                <w:sz w:val="16"/>
                <w:lang w:eastAsia="zh-CN"/>
              </w:rPr>
              <w:t>NY 51.6 (approx. USD 7.5 million)</w:t>
            </w:r>
          </w:p>
        </w:tc>
        <w:tc>
          <w:tcPr>
            <w:tcW w:w="3595" w:type="dxa"/>
          </w:tcPr>
          <w:p w14:paraId="2AC00A2A" w14:textId="77777777" w:rsidR="00013E9E" w:rsidRDefault="00013E9E">
            <w:pPr>
              <w:spacing w:before="40" w:after="40"/>
              <w:jc w:val="left"/>
              <w:rPr>
                <w:rFonts w:cstheme="minorHAnsi"/>
                <w:sz w:val="16"/>
                <w:lang w:eastAsia="zh-CN"/>
              </w:rPr>
            </w:pPr>
            <w:r>
              <w:rPr>
                <w:rFonts w:cstheme="minorHAnsi" w:hint="eastAsia"/>
                <w:sz w:val="16"/>
                <w:lang w:eastAsia="zh-CN"/>
              </w:rPr>
              <w:t>Subsidy to support farmers to establish small-scale agriculture facilities.</w:t>
            </w:r>
          </w:p>
        </w:tc>
      </w:tr>
      <w:tr w:rsidR="00013E9E" w14:paraId="67C27D81" w14:textId="77777777" w:rsidTr="00013E9E">
        <w:trPr>
          <w:trHeight w:val="699"/>
          <w:jc w:val="center"/>
        </w:trPr>
        <w:tc>
          <w:tcPr>
            <w:tcW w:w="2065" w:type="dxa"/>
          </w:tcPr>
          <w:p w14:paraId="16597F82" w14:textId="77777777" w:rsidR="00013E9E" w:rsidRDefault="00013E9E">
            <w:pPr>
              <w:spacing w:before="40" w:after="40"/>
              <w:jc w:val="left"/>
              <w:rPr>
                <w:rFonts w:cstheme="minorHAnsi"/>
                <w:sz w:val="16"/>
              </w:rPr>
            </w:pPr>
            <w:r>
              <w:rPr>
                <w:rFonts w:cstheme="minorHAnsi" w:hint="eastAsia"/>
                <w:sz w:val="16"/>
                <w:lang w:eastAsia="zh-CN"/>
              </w:rPr>
              <w:t>Horizontal</w:t>
            </w:r>
            <w:r>
              <w:rPr>
                <w:rFonts w:cstheme="minorHAnsi"/>
                <w:sz w:val="16"/>
                <w:lang w:eastAsia="zh-CN"/>
              </w:rPr>
              <w:t xml:space="preserve"> eco-composition program (Lingshui County to Qiongzhong County)</w:t>
            </w:r>
          </w:p>
        </w:tc>
        <w:tc>
          <w:tcPr>
            <w:tcW w:w="2075" w:type="dxa"/>
          </w:tcPr>
          <w:p w14:paraId="027D55AD" w14:textId="77777777" w:rsidR="00013E9E" w:rsidRDefault="00013E9E">
            <w:pPr>
              <w:spacing w:before="40" w:after="40"/>
              <w:jc w:val="left"/>
              <w:rPr>
                <w:rFonts w:cstheme="minorHAnsi"/>
                <w:sz w:val="16"/>
                <w:lang w:eastAsia="zh-CN"/>
              </w:rPr>
            </w:pPr>
            <w:r>
              <w:rPr>
                <w:rFonts w:cstheme="minorHAnsi"/>
                <w:sz w:val="16"/>
                <w:lang w:eastAsia="zh-CN"/>
              </w:rPr>
              <w:t>Lingshui County Government</w:t>
            </w:r>
          </w:p>
        </w:tc>
        <w:tc>
          <w:tcPr>
            <w:tcW w:w="1710" w:type="dxa"/>
          </w:tcPr>
          <w:p w14:paraId="1D4C9136" w14:textId="77777777" w:rsidR="00013E9E" w:rsidRDefault="00013E9E">
            <w:pPr>
              <w:spacing w:before="40" w:after="40"/>
              <w:jc w:val="left"/>
              <w:rPr>
                <w:rFonts w:cstheme="minorHAnsi"/>
                <w:sz w:val="16"/>
              </w:rPr>
            </w:pPr>
            <w:r>
              <w:rPr>
                <w:rFonts w:cstheme="minorHAnsi" w:hint="eastAsia"/>
                <w:sz w:val="16"/>
                <w:lang w:eastAsia="zh-CN"/>
              </w:rPr>
              <w:t>C</w:t>
            </w:r>
            <w:r>
              <w:rPr>
                <w:rFonts w:cstheme="minorHAnsi"/>
                <w:sz w:val="16"/>
                <w:lang w:eastAsia="zh-CN"/>
              </w:rPr>
              <w:t>NY 3 million/year (approx. USD 0.45 million/year)</w:t>
            </w:r>
          </w:p>
        </w:tc>
        <w:tc>
          <w:tcPr>
            <w:tcW w:w="3595" w:type="dxa"/>
          </w:tcPr>
          <w:p w14:paraId="409D25DE" w14:textId="70DF64EC" w:rsidR="00013E9E" w:rsidRDefault="00013E9E">
            <w:pPr>
              <w:spacing w:before="40" w:after="40"/>
              <w:jc w:val="left"/>
              <w:rPr>
                <w:rFonts w:cstheme="minorHAnsi"/>
                <w:sz w:val="16"/>
                <w:lang w:eastAsia="zh-CN"/>
              </w:rPr>
            </w:pPr>
            <w:r>
              <w:rPr>
                <w:rFonts w:cstheme="minorHAnsi" w:hint="eastAsia"/>
                <w:sz w:val="16"/>
                <w:lang w:eastAsia="zh-CN"/>
              </w:rPr>
              <w:t>Subsidy paid by Lingshui Government to Qiongzhong County to compensate losses from protection of environment and biodiversity by Qiongzhong which benefit Lingshui County.</w:t>
            </w:r>
          </w:p>
        </w:tc>
      </w:tr>
      <w:tr w:rsidR="00013E9E" w14:paraId="26E57662" w14:textId="77777777" w:rsidTr="00013E9E">
        <w:trPr>
          <w:jc w:val="center"/>
        </w:trPr>
        <w:tc>
          <w:tcPr>
            <w:tcW w:w="2065" w:type="dxa"/>
          </w:tcPr>
          <w:p w14:paraId="2B559F1F"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 xml:space="preserve">Leisure Agriculture Development Fund </w:t>
            </w:r>
          </w:p>
        </w:tc>
        <w:tc>
          <w:tcPr>
            <w:tcW w:w="2075" w:type="dxa"/>
          </w:tcPr>
          <w:p w14:paraId="0EC63943"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Hainan Provincial DARA and Bureau of Tourism</w:t>
            </w:r>
          </w:p>
        </w:tc>
        <w:tc>
          <w:tcPr>
            <w:tcW w:w="1710" w:type="dxa"/>
          </w:tcPr>
          <w:p w14:paraId="658F8060" w14:textId="0D50114F" w:rsidR="00013E9E" w:rsidRPr="003B29BC" w:rsidRDefault="00013E9E">
            <w:pPr>
              <w:spacing w:before="40" w:after="40"/>
              <w:jc w:val="left"/>
              <w:rPr>
                <w:rFonts w:cstheme="minorHAnsi"/>
                <w:sz w:val="16"/>
                <w:lang w:eastAsia="zh-CN"/>
              </w:rPr>
            </w:pPr>
            <w:r w:rsidRPr="003B29BC">
              <w:rPr>
                <w:rFonts w:cstheme="minorHAnsi"/>
                <w:sz w:val="16"/>
                <w:lang w:eastAsia="zh-CN"/>
              </w:rPr>
              <w:t>USD 500,000/year</w:t>
            </w:r>
          </w:p>
        </w:tc>
        <w:tc>
          <w:tcPr>
            <w:tcW w:w="3595" w:type="dxa"/>
          </w:tcPr>
          <w:p w14:paraId="31F1DE2F"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Supporting provincial agriculture and tourism activities.</w:t>
            </w:r>
          </w:p>
        </w:tc>
      </w:tr>
      <w:tr w:rsidR="00013E9E" w14:paraId="60780EC6" w14:textId="77777777" w:rsidTr="00013E9E">
        <w:trPr>
          <w:jc w:val="center"/>
        </w:trPr>
        <w:tc>
          <w:tcPr>
            <w:tcW w:w="2065" w:type="dxa"/>
          </w:tcPr>
          <w:p w14:paraId="4BFB681D"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Demonstration beautiful countryside villages</w:t>
            </w:r>
          </w:p>
        </w:tc>
        <w:tc>
          <w:tcPr>
            <w:tcW w:w="2075" w:type="dxa"/>
          </w:tcPr>
          <w:p w14:paraId="06D60A90"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Hainan Provincial DARA</w:t>
            </w:r>
          </w:p>
        </w:tc>
        <w:tc>
          <w:tcPr>
            <w:tcW w:w="1710" w:type="dxa"/>
          </w:tcPr>
          <w:p w14:paraId="5C5FEA9C" w14:textId="24B087DF" w:rsidR="00013E9E" w:rsidRPr="003B29BC" w:rsidRDefault="00013E9E">
            <w:pPr>
              <w:spacing w:before="40" w:after="40"/>
              <w:jc w:val="left"/>
              <w:rPr>
                <w:rFonts w:cstheme="minorHAnsi"/>
                <w:sz w:val="16"/>
                <w:lang w:eastAsia="zh-CN"/>
              </w:rPr>
            </w:pPr>
            <w:r w:rsidRPr="003B29BC">
              <w:rPr>
                <w:rFonts w:cstheme="minorHAnsi"/>
                <w:sz w:val="16"/>
                <w:lang w:eastAsia="zh-CN"/>
              </w:rPr>
              <w:t>USD 225,000</w:t>
            </w:r>
            <w:r w:rsidRPr="003B29BC">
              <w:rPr>
                <w:rFonts w:cstheme="minorHAnsi" w:hint="eastAsia"/>
                <w:sz w:val="16"/>
                <w:lang w:eastAsia="zh-CN"/>
              </w:rPr>
              <w:t>/year</w:t>
            </w:r>
          </w:p>
        </w:tc>
        <w:tc>
          <w:tcPr>
            <w:tcW w:w="3595" w:type="dxa"/>
          </w:tcPr>
          <w:p w14:paraId="4979CB46" w14:textId="77777777" w:rsidR="00013E9E" w:rsidRPr="003B29BC" w:rsidRDefault="00013E9E">
            <w:pPr>
              <w:spacing w:before="40" w:after="40"/>
              <w:jc w:val="left"/>
              <w:rPr>
                <w:rFonts w:cstheme="minorHAnsi"/>
                <w:sz w:val="16"/>
              </w:rPr>
            </w:pPr>
            <w:r w:rsidRPr="003B29BC">
              <w:rPr>
                <w:rFonts w:cstheme="minorHAnsi" w:hint="eastAsia"/>
                <w:sz w:val="16"/>
                <w:lang w:eastAsia="zh-CN"/>
              </w:rPr>
              <w:t>S</w:t>
            </w:r>
            <w:r w:rsidRPr="003B29BC">
              <w:rPr>
                <w:rFonts w:cstheme="minorHAnsi"/>
                <w:sz w:val="16"/>
                <w:lang w:eastAsia="zh-CN"/>
              </w:rPr>
              <w:t>upporting farmers in tourism related activities and to showcase farming ecosystems and traditions</w:t>
            </w:r>
            <w:r w:rsidRPr="003B29BC">
              <w:rPr>
                <w:rFonts w:cstheme="minorHAnsi" w:hint="eastAsia"/>
                <w:sz w:val="16"/>
                <w:lang w:eastAsia="zh-CN"/>
              </w:rPr>
              <w:t>.</w:t>
            </w:r>
          </w:p>
        </w:tc>
      </w:tr>
      <w:tr w:rsidR="00013E9E" w14:paraId="26AF85D1" w14:textId="77777777" w:rsidTr="00013E9E">
        <w:trPr>
          <w:jc w:val="center"/>
        </w:trPr>
        <w:tc>
          <w:tcPr>
            <w:tcW w:w="2065" w:type="dxa"/>
          </w:tcPr>
          <w:p w14:paraId="78DBB3AB"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Farmers' Increasing Income in Central Hainan</w:t>
            </w:r>
          </w:p>
        </w:tc>
        <w:tc>
          <w:tcPr>
            <w:tcW w:w="2075" w:type="dxa"/>
          </w:tcPr>
          <w:p w14:paraId="1F889CFC" w14:textId="452FB1A3" w:rsidR="00013E9E" w:rsidRPr="003B29BC" w:rsidRDefault="00013E9E">
            <w:pPr>
              <w:spacing w:before="40" w:after="40"/>
              <w:jc w:val="left"/>
              <w:rPr>
                <w:rFonts w:cstheme="minorHAnsi"/>
                <w:sz w:val="16"/>
                <w:lang w:eastAsia="zh-CN"/>
              </w:rPr>
            </w:pPr>
            <w:r w:rsidRPr="003B29BC">
              <w:rPr>
                <w:rFonts w:cstheme="minorHAnsi"/>
                <w:sz w:val="16"/>
                <w:lang w:eastAsia="zh-CN"/>
              </w:rPr>
              <w:t xml:space="preserve">Hainan Provincial </w:t>
            </w:r>
            <w:r w:rsidRPr="003B29BC">
              <w:rPr>
                <w:rFonts w:cstheme="minorHAnsi" w:hint="eastAsia"/>
                <w:sz w:val="16"/>
                <w:lang w:eastAsia="zh-CN"/>
              </w:rPr>
              <w:t>Department of Finance</w:t>
            </w:r>
          </w:p>
        </w:tc>
        <w:tc>
          <w:tcPr>
            <w:tcW w:w="1710" w:type="dxa"/>
          </w:tcPr>
          <w:p w14:paraId="56FB3EBF" w14:textId="39C1498F" w:rsidR="00013E9E" w:rsidRPr="003B29BC" w:rsidRDefault="00013E9E">
            <w:pPr>
              <w:spacing w:before="40" w:after="40"/>
              <w:jc w:val="left"/>
              <w:rPr>
                <w:rFonts w:cstheme="minorHAnsi"/>
                <w:sz w:val="16"/>
                <w:lang w:eastAsia="zh-CN"/>
              </w:rPr>
            </w:pPr>
            <w:r w:rsidRPr="003B29BC">
              <w:rPr>
                <w:rFonts w:cstheme="minorHAnsi" w:hint="eastAsia"/>
                <w:sz w:val="16"/>
                <w:lang w:eastAsia="zh-CN"/>
              </w:rPr>
              <w:t>CNY</w:t>
            </w:r>
            <w:r>
              <w:rPr>
                <w:rFonts w:cstheme="minorHAnsi"/>
                <w:sz w:val="16"/>
                <w:lang w:eastAsia="zh-CN"/>
              </w:rPr>
              <w:t xml:space="preserve"> </w:t>
            </w:r>
            <w:r w:rsidRPr="003B29BC">
              <w:rPr>
                <w:rFonts w:cstheme="minorHAnsi" w:hint="eastAsia"/>
                <w:sz w:val="16"/>
                <w:lang w:eastAsia="zh-CN"/>
              </w:rPr>
              <w:t>880</w:t>
            </w:r>
            <w:r>
              <w:rPr>
                <w:rFonts w:cstheme="minorHAnsi"/>
                <w:sz w:val="16"/>
                <w:lang w:eastAsia="zh-CN"/>
              </w:rPr>
              <w:t xml:space="preserve"> million </w:t>
            </w:r>
            <w:r w:rsidRPr="003B29BC">
              <w:rPr>
                <w:rFonts w:cstheme="minorHAnsi" w:hint="eastAsia"/>
                <w:sz w:val="16"/>
                <w:lang w:eastAsia="zh-CN"/>
              </w:rPr>
              <w:t>(USD</w:t>
            </w:r>
            <w:r>
              <w:rPr>
                <w:rFonts w:cstheme="minorHAnsi"/>
                <w:sz w:val="16"/>
                <w:lang w:eastAsia="zh-CN"/>
              </w:rPr>
              <w:t xml:space="preserve"> </w:t>
            </w:r>
            <w:r w:rsidRPr="003B29BC">
              <w:rPr>
                <w:rFonts w:cstheme="minorHAnsi" w:hint="eastAsia"/>
                <w:sz w:val="16"/>
                <w:lang w:eastAsia="zh-CN"/>
              </w:rPr>
              <w:t>133</w:t>
            </w:r>
            <w:r>
              <w:rPr>
                <w:rFonts w:cstheme="minorHAnsi"/>
                <w:sz w:val="16"/>
                <w:lang w:eastAsia="zh-CN"/>
              </w:rPr>
              <w:t xml:space="preserve"> million</w:t>
            </w:r>
            <w:r w:rsidRPr="003B29BC">
              <w:rPr>
                <w:rFonts w:cstheme="minorHAnsi" w:hint="eastAsia"/>
                <w:sz w:val="16"/>
                <w:lang w:eastAsia="zh-CN"/>
              </w:rPr>
              <w:t>)/year</w:t>
            </w:r>
          </w:p>
        </w:tc>
        <w:tc>
          <w:tcPr>
            <w:tcW w:w="3595" w:type="dxa"/>
          </w:tcPr>
          <w:p w14:paraId="2B1D8622" w14:textId="77777777" w:rsidR="00013E9E" w:rsidRPr="003B29BC" w:rsidRDefault="00013E9E">
            <w:pPr>
              <w:spacing w:before="40" w:after="40"/>
              <w:jc w:val="left"/>
              <w:rPr>
                <w:rFonts w:cstheme="minorHAnsi"/>
                <w:sz w:val="16"/>
              </w:rPr>
            </w:pPr>
            <w:r w:rsidRPr="003B29BC">
              <w:rPr>
                <w:rFonts w:cstheme="minorHAnsi"/>
                <w:sz w:val="16"/>
                <w:lang w:eastAsia="zh-CN"/>
              </w:rPr>
              <w:t>Supporting also ecosystem conservation and environmental sustainability</w:t>
            </w:r>
          </w:p>
        </w:tc>
      </w:tr>
      <w:tr w:rsidR="00013E9E" w14:paraId="2E0E46D0" w14:textId="77777777" w:rsidTr="00013E9E">
        <w:trPr>
          <w:jc w:val="center"/>
        </w:trPr>
        <w:tc>
          <w:tcPr>
            <w:tcW w:w="2065" w:type="dxa"/>
          </w:tcPr>
          <w:p w14:paraId="36AD76FF"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Fund for returning farmland to forest</w:t>
            </w:r>
          </w:p>
        </w:tc>
        <w:tc>
          <w:tcPr>
            <w:tcW w:w="2075" w:type="dxa"/>
          </w:tcPr>
          <w:p w14:paraId="37BAE6D5" w14:textId="51BE9673" w:rsidR="00013E9E" w:rsidRPr="003B29BC" w:rsidRDefault="00013E9E">
            <w:pPr>
              <w:spacing w:before="40" w:after="40"/>
              <w:jc w:val="left"/>
              <w:rPr>
                <w:rFonts w:cstheme="minorHAnsi"/>
                <w:sz w:val="16"/>
                <w:lang w:eastAsia="zh-CN"/>
              </w:rPr>
            </w:pPr>
            <w:r w:rsidRPr="003B29BC">
              <w:rPr>
                <w:rFonts w:cstheme="minorHAnsi" w:hint="eastAsia"/>
                <w:sz w:val="16"/>
                <w:lang w:eastAsia="zh-CN"/>
              </w:rPr>
              <w:t>Hainan Provincial Department of Finance</w:t>
            </w:r>
          </w:p>
        </w:tc>
        <w:tc>
          <w:tcPr>
            <w:tcW w:w="1710" w:type="dxa"/>
          </w:tcPr>
          <w:p w14:paraId="18365D30" w14:textId="41A14F78" w:rsidR="00013E9E" w:rsidRPr="003B29BC" w:rsidRDefault="00013E9E">
            <w:pPr>
              <w:spacing w:before="40" w:after="40"/>
              <w:jc w:val="left"/>
              <w:rPr>
                <w:rFonts w:cstheme="minorHAnsi"/>
                <w:sz w:val="16"/>
                <w:lang w:eastAsia="zh-CN"/>
              </w:rPr>
            </w:pPr>
            <w:r w:rsidRPr="003B29BC">
              <w:rPr>
                <w:rFonts w:cstheme="minorHAnsi" w:hint="eastAsia"/>
                <w:sz w:val="16"/>
                <w:lang w:eastAsia="zh-CN"/>
              </w:rPr>
              <w:t>CNY</w:t>
            </w:r>
            <w:r>
              <w:rPr>
                <w:rFonts w:cstheme="minorHAnsi"/>
                <w:sz w:val="16"/>
                <w:lang w:eastAsia="zh-CN"/>
              </w:rPr>
              <w:t xml:space="preserve"> </w:t>
            </w:r>
            <w:r w:rsidRPr="003B29BC">
              <w:rPr>
                <w:rFonts w:cstheme="minorHAnsi" w:hint="eastAsia"/>
                <w:sz w:val="16"/>
                <w:lang w:eastAsia="zh-CN"/>
              </w:rPr>
              <w:t>54</w:t>
            </w:r>
            <w:r>
              <w:rPr>
                <w:rFonts w:cstheme="minorHAnsi"/>
                <w:sz w:val="16"/>
                <w:lang w:eastAsia="zh-CN"/>
              </w:rPr>
              <w:t>.</w:t>
            </w:r>
            <w:r w:rsidRPr="003B29BC">
              <w:rPr>
                <w:rFonts w:cstheme="minorHAnsi" w:hint="eastAsia"/>
                <w:sz w:val="16"/>
                <w:lang w:eastAsia="zh-CN"/>
              </w:rPr>
              <w:t>56</w:t>
            </w:r>
            <w:r>
              <w:rPr>
                <w:rFonts w:cstheme="minorHAnsi"/>
                <w:sz w:val="16"/>
                <w:lang w:eastAsia="zh-CN"/>
              </w:rPr>
              <w:t xml:space="preserve"> million </w:t>
            </w:r>
            <w:r w:rsidRPr="003B29BC">
              <w:rPr>
                <w:rFonts w:cstheme="minorHAnsi" w:hint="eastAsia"/>
                <w:sz w:val="16"/>
                <w:lang w:eastAsia="zh-CN"/>
              </w:rPr>
              <w:t>(USD</w:t>
            </w:r>
            <w:r>
              <w:rPr>
                <w:rFonts w:cstheme="minorHAnsi"/>
                <w:sz w:val="16"/>
                <w:lang w:eastAsia="zh-CN"/>
              </w:rPr>
              <w:t xml:space="preserve"> </w:t>
            </w:r>
            <w:r w:rsidRPr="003B29BC">
              <w:rPr>
                <w:rFonts w:cstheme="minorHAnsi" w:hint="eastAsia"/>
                <w:sz w:val="16"/>
                <w:lang w:eastAsia="zh-CN"/>
              </w:rPr>
              <w:t>9</w:t>
            </w:r>
            <w:r>
              <w:rPr>
                <w:rFonts w:cstheme="minorHAnsi"/>
                <w:sz w:val="16"/>
                <w:lang w:eastAsia="zh-CN"/>
              </w:rPr>
              <w:t>.1 million</w:t>
            </w:r>
            <w:r w:rsidRPr="003B29BC">
              <w:rPr>
                <w:rFonts w:cstheme="minorHAnsi" w:hint="eastAsia"/>
                <w:sz w:val="16"/>
                <w:lang w:eastAsia="zh-CN"/>
              </w:rPr>
              <w:t>)/year</w:t>
            </w:r>
          </w:p>
        </w:tc>
        <w:tc>
          <w:tcPr>
            <w:tcW w:w="3595" w:type="dxa"/>
          </w:tcPr>
          <w:p w14:paraId="6D493F4C" w14:textId="77777777" w:rsidR="00013E9E" w:rsidRPr="003B29BC" w:rsidRDefault="00013E9E">
            <w:pPr>
              <w:spacing w:before="40" w:after="40"/>
              <w:jc w:val="left"/>
              <w:rPr>
                <w:rFonts w:cstheme="minorHAnsi"/>
                <w:sz w:val="16"/>
              </w:rPr>
            </w:pPr>
            <w:r w:rsidRPr="003B29BC">
              <w:rPr>
                <w:rFonts w:cstheme="minorHAnsi"/>
                <w:sz w:val="16"/>
                <w:lang w:eastAsia="zh-CN"/>
              </w:rPr>
              <w:t>Providing eco-compensation to support restoration of agricultural areas</w:t>
            </w:r>
          </w:p>
        </w:tc>
      </w:tr>
      <w:tr w:rsidR="00013E9E" w14:paraId="0C191FA3" w14:textId="77777777" w:rsidTr="00013E9E">
        <w:trPr>
          <w:jc w:val="center"/>
        </w:trPr>
        <w:tc>
          <w:tcPr>
            <w:tcW w:w="2065" w:type="dxa"/>
          </w:tcPr>
          <w:p w14:paraId="74BF6B4E"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Nature Reserve Construction Fund</w:t>
            </w:r>
          </w:p>
        </w:tc>
        <w:tc>
          <w:tcPr>
            <w:tcW w:w="2075" w:type="dxa"/>
          </w:tcPr>
          <w:p w14:paraId="6E84960E" w14:textId="77777777" w:rsidR="00013E9E" w:rsidRPr="003B29BC" w:rsidRDefault="00013E9E">
            <w:pPr>
              <w:spacing w:before="40" w:after="40"/>
              <w:jc w:val="left"/>
              <w:rPr>
                <w:rFonts w:cstheme="minorHAnsi"/>
                <w:sz w:val="16"/>
                <w:lang w:eastAsia="zh-CN"/>
              </w:rPr>
            </w:pPr>
            <w:r w:rsidRPr="003B29BC">
              <w:rPr>
                <w:rFonts w:cstheme="minorHAnsi"/>
                <w:sz w:val="16"/>
                <w:lang w:eastAsia="zh-CN"/>
              </w:rPr>
              <w:t>Hainan Department of Ecology and Environment, with initiatives also implemented by DARA and the Forestry Bureau</w:t>
            </w:r>
          </w:p>
        </w:tc>
        <w:tc>
          <w:tcPr>
            <w:tcW w:w="1710" w:type="dxa"/>
          </w:tcPr>
          <w:p w14:paraId="6F7D87B3" w14:textId="4148E930" w:rsidR="00013E9E" w:rsidRPr="003B29BC" w:rsidRDefault="00013E9E">
            <w:pPr>
              <w:spacing w:before="40" w:after="40"/>
              <w:jc w:val="left"/>
              <w:rPr>
                <w:rFonts w:cstheme="minorHAnsi"/>
                <w:sz w:val="16"/>
                <w:lang w:eastAsia="zh-CN"/>
              </w:rPr>
            </w:pPr>
            <w:r w:rsidRPr="003B29BC">
              <w:rPr>
                <w:rFonts w:cstheme="minorHAnsi" w:hint="eastAsia"/>
                <w:sz w:val="16"/>
                <w:lang w:eastAsia="zh-CN"/>
              </w:rPr>
              <w:t>CNY</w:t>
            </w:r>
            <w:r>
              <w:rPr>
                <w:rFonts w:cstheme="minorHAnsi"/>
                <w:sz w:val="16"/>
                <w:lang w:eastAsia="zh-CN"/>
              </w:rPr>
              <w:t xml:space="preserve"> </w:t>
            </w:r>
            <w:r w:rsidRPr="003B29BC">
              <w:rPr>
                <w:rFonts w:cstheme="minorHAnsi" w:hint="eastAsia"/>
                <w:sz w:val="16"/>
                <w:lang w:eastAsia="zh-CN"/>
              </w:rPr>
              <w:t>14</w:t>
            </w:r>
            <w:r>
              <w:rPr>
                <w:rFonts w:cstheme="minorHAnsi"/>
                <w:sz w:val="16"/>
                <w:lang w:eastAsia="zh-CN"/>
              </w:rPr>
              <w:t xml:space="preserve"> million </w:t>
            </w:r>
            <w:r w:rsidRPr="003B29BC">
              <w:rPr>
                <w:rFonts w:cstheme="minorHAnsi" w:hint="eastAsia"/>
                <w:sz w:val="16"/>
                <w:lang w:eastAsia="zh-CN"/>
              </w:rPr>
              <w:t>(USD</w:t>
            </w:r>
            <w:r>
              <w:rPr>
                <w:rFonts w:cstheme="minorHAnsi"/>
                <w:sz w:val="16"/>
                <w:lang w:eastAsia="zh-CN"/>
              </w:rPr>
              <w:t xml:space="preserve"> </w:t>
            </w:r>
            <w:r w:rsidRPr="003B29BC">
              <w:rPr>
                <w:rFonts w:cstheme="minorHAnsi" w:hint="eastAsia"/>
                <w:sz w:val="16"/>
                <w:lang w:eastAsia="zh-CN"/>
              </w:rPr>
              <w:t>2</w:t>
            </w:r>
            <w:r>
              <w:rPr>
                <w:rFonts w:cstheme="minorHAnsi"/>
                <w:sz w:val="16"/>
                <w:lang w:eastAsia="zh-CN"/>
              </w:rPr>
              <w:t>.1 million</w:t>
            </w:r>
            <w:r w:rsidRPr="003B29BC">
              <w:rPr>
                <w:rFonts w:cstheme="minorHAnsi" w:hint="eastAsia"/>
                <w:sz w:val="16"/>
                <w:lang w:eastAsia="zh-CN"/>
              </w:rPr>
              <w:t>)/year</w:t>
            </w:r>
          </w:p>
        </w:tc>
        <w:tc>
          <w:tcPr>
            <w:tcW w:w="3595" w:type="dxa"/>
          </w:tcPr>
          <w:p w14:paraId="5124CEAA" w14:textId="77777777" w:rsidR="00013E9E" w:rsidRPr="003B29BC" w:rsidRDefault="00013E9E">
            <w:pPr>
              <w:spacing w:before="40" w:after="40"/>
              <w:jc w:val="left"/>
              <w:rPr>
                <w:rFonts w:cstheme="minorHAnsi"/>
                <w:sz w:val="16"/>
              </w:rPr>
            </w:pPr>
            <w:r w:rsidRPr="003B29BC">
              <w:rPr>
                <w:rFonts w:cstheme="minorHAnsi"/>
                <w:sz w:val="16"/>
                <w:lang w:eastAsia="zh-CN"/>
              </w:rPr>
              <w:t>Supporting in-situ conservation of ecosystems, species and genetic resources within nature reserves</w:t>
            </w:r>
          </w:p>
        </w:tc>
      </w:tr>
    </w:tbl>
    <w:p w14:paraId="24DE278C" w14:textId="77777777" w:rsidR="00CB579F" w:rsidRDefault="00682679" w:rsidP="003B29BC">
      <w:pPr>
        <w:spacing w:before="240"/>
      </w:pPr>
      <w:r>
        <w:rPr>
          <w:b/>
        </w:rPr>
        <w:t>Eco-Certification and other Incentive Mechanisms</w:t>
      </w:r>
      <w:r>
        <w:t>:</w:t>
      </w:r>
    </w:p>
    <w:p w14:paraId="799FE89E" w14:textId="7F9CB5D7" w:rsidR="00CB579F" w:rsidRDefault="00682679">
      <w:pPr>
        <w:rPr>
          <w:lang w:eastAsia="zh-CN"/>
        </w:rPr>
      </w:pPr>
      <w:bookmarkStart w:id="6" w:name="_Hlk534191170"/>
      <w:r>
        <w:rPr>
          <w:lang w:eastAsia="zh-CN"/>
        </w:rPr>
        <w:t xml:space="preserve">In 2017, the provincial government issued the </w:t>
      </w:r>
      <w:r>
        <w:rPr>
          <w:i/>
          <w:lang w:eastAsia="zh-CN"/>
        </w:rPr>
        <w:t>Implementation Plan for the Development of Agricultural Products Public Brands in Hainan Province</w:t>
      </w:r>
      <w:r>
        <w:rPr>
          <w:lang w:eastAsia="zh-CN"/>
        </w:rPr>
        <w:t>, which aims to integrate resources of 500 original agricultural brands, cultivate and build 30 public brands of local agricultural products (including planting, breeding, agricultural products processing industries, etc.) and identify 50 famous brands of agricultural products in the province in the next 3-5 years</w:t>
      </w:r>
      <w:r w:rsidRPr="003B29BC">
        <w:rPr>
          <w:vertAlign w:val="superscript"/>
          <w:lang w:eastAsia="zh-CN"/>
        </w:rPr>
        <w:t>4</w:t>
      </w:r>
      <w:r>
        <w:rPr>
          <w:lang w:eastAsia="zh-CN"/>
        </w:rPr>
        <w:t>. This will promote farmers’ and local governments’ enthusiasm to identify and develop landraces and endangered wild animals and plants and develop them into marketable brands. However, there is no specific policy or guidance for how to allocate resources to realize these goals</w:t>
      </w:r>
      <w:bookmarkEnd w:id="6"/>
      <w:r>
        <w:rPr>
          <w:lang w:eastAsia="zh-CN"/>
        </w:rPr>
        <w:t xml:space="preserve">. </w:t>
      </w:r>
    </w:p>
    <w:p w14:paraId="207D42F2" w14:textId="089B015C" w:rsidR="00CB579F" w:rsidRDefault="00682679" w:rsidP="003B29BC">
      <w:pPr>
        <w:tabs>
          <w:tab w:val="right" w:pos="9603"/>
        </w:tabs>
        <w:rPr>
          <w:lang w:eastAsia="zh-CN"/>
        </w:rPr>
      </w:pPr>
      <w:r>
        <w:rPr>
          <w:lang w:eastAsia="zh-CN"/>
        </w:rPr>
        <w:t xml:space="preserve">Generally </w:t>
      </w:r>
      <w:r>
        <w:t>eco-certification</w:t>
      </w:r>
      <w:r>
        <w:rPr>
          <w:lang w:eastAsia="zh-CN"/>
        </w:rPr>
        <w:t xml:space="preserve"> for agricultural products includes certificates for </w:t>
      </w:r>
      <w:r>
        <w:t>green food, pollution-free food</w:t>
      </w:r>
      <w:r>
        <w:rPr>
          <w:lang w:eastAsia="zh-CN"/>
        </w:rPr>
        <w:t xml:space="preserve">, </w:t>
      </w:r>
      <w:r>
        <w:t xml:space="preserve">organic food and agro-products geographical indications. In recent years, </w:t>
      </w:r>
      <w:r>
        <w:rPr>
          <w:rFonts w:hint="eastAsia"/>
          <w:lang w:eastAsia="zh-CN"/>
        </w:rPr>
        <w:t>Hainan P</w:t>
      </w:r>
      <w:r>
        <w:t xml:space="preserve">rovince has actively promoted brand building based on </w:t>
      </w:r>
      <w:r>
        <w:rPr>
          <w:rFonts w:hint="eastAsia"/>
          <w:lang w:eastAsia="zh-CN"/>
        </w:rPr>
        <w:t xml:space="preserve">guidelines issued by related central government ministries. Hainan Province established an agency named </w:t>
      </w:r>
      <w:r>
        <w:rPr>
          <w:lang w:eastAsia="zh-CN"/>
        </w:rPr>
        <w:t>“</w:t>
      </w:r>
      <w:r>
        <w:rPr>
          <w:rFonts w:hint="eastAsia"/>
          <w:lang w:eastAsia="zh-CN"/>
        </w:rPr>
        <w:t>Green Food Certificate Office</w:t>
      </w:r>
      <w:r>
        <w:rPr>
          <w:lang w:eastAsia="zh-CN"/>
        </w:rPr>
        <w:t>”</w:t>
      </w:r>
      <w:r>
        <w:rPr>
          <w:rFonts w:hint="eastAsia"/>
          <w:lang w:eastAsia="zh-CN"/>
        </w:rPr>
        <w:t xml:space="preserve"> administrated by DARA. </w:t>
      </w:r>
      <w:r w:rsidR="003B29BC">
        <w:rPr>
          <w:lang w:eastAsia="zh-CN"/>
        </w:rPr>
        <w:t>By the end of</w:t>
      </w:r>
      <w:r>
        <w:rPr>
          <w:rFonts w:hint="eastAsia"/>
          <w:lang w:eastAsia="zh-CN"/>
        </w:rPr>
        <w:t xml:space="preserve"> 2014,  certificates of  24, 11 and 77 agricultural products had been issued to different companies but not to farmers</w:t>
      </w:r>
      <w:r>
        <w:rPr>
          <w:lang w:eastAsia="zh-CN"/>
        </w:rPr>
        <w:t>’</w:t>
      </w:r>
      <w:r>
        <w:rPr>
          <w:rFonts w:hint="eastAsia"/>
          <w:lang w:eastAsia="zh-CN"/>
        </w:rPr>
        <w:t xml:space="preserve"> cooperatives. </w:t>
      </w:r>
    </w:p>
    <w:p w14:paraId="007DEFE5" w14:textId="58B80BC0" w:rsidR="00CB579F" w:rsidRDefault="00682679">
      <w:pPr>
        <w:rPr>
          <w:lang w:eastAsia="zh-CN"/>
        </w:rPr>
      </w:pPr>
      <w:r>
        <w:rPr>
          <w:rFonts w:hint="eastAsia"/>
          <w:lang w:eastAsia="zh-CN"/>
        </w:rPr>
        <w:t>In Hainan Province, 101 agricultural products from 53 enterprises (companies, cooperatives and farmlands) have been issued green food certificates. 24 agricultural products in Hainan have been issued geographic</w:t>
      </w:r>
      <w:r w:rsidR="003B29BC">
        <w:rPr>
          <w:lang w:eastAsia="zh-CN"/>
        </w:rPr>
        <w:t>al</w:t>
      </w:r>
      <w:r>
        <w:rPr>
          <w:rFonts w:hint="eastAsia"/>
          <w:lang w:eastAsia="zh-CN"/>
        </w:rPr>
        <w:t xml:space="preserve"> indication</w:t>
      </w:r>
      <w:r w:rsidR="003B29BC">
        <w:rPr>
          <w:lang w:eastAsia="zh-CN"/>
        </w:rPr>
        <w:t xml:space="preserve"> certification</w:t>
      </w:r>
      <w:r>
        <w:rPr>
          <w:rFonts w:hint="eastAsia"/>
          <w:lang w:eastAsia="zh-CN"/>
        </w:rPr>
        <w:t xml:space="preserve">. Wuzhishan pig in Wuzhishan has been issued the indication, but that in Baisha has not been issued. (Data as of Oct. 9, 2018). Considering </w:t>
      </w:r>
      <w:r w:rsidR="003B29BC">
        <w:rPr>
          <w:lang w:eastAsia="zh-CN"/>
        </w:rPr>
        <w:t>the high number of</w:t>
      </w:r>
      <w:r>
        <w:rPr>
          <w:rFonts w:hint="eastAsia"/>
          <w:lang w:eastAsia="zh-CN"/>
        </w:rPr>
        <w:t xml:space="preserve"> products available which </w:t>
      </w:r>
      <w:r w:rsidR="003B29BC">
        <w:rPr>
          <w:lang w:eastAsia="zh-CN"/>
        </w:rPr>
        <w:t>c</w:t>
      </w:r>
      <w:r>
        <w:rPr>
          <w:rFonts w:hint="eastAsia"/>
          <w:lang w:eastAsia="zh-CN"/>
        </w:rPr>
        <w:t xml:space="preserve">ould be qualified green foods or geographically special products, more efforts should be invested to </w:t>
      </w:r>
      <w:r>
        <w:rPr>
          <w:lang w:eastAsia="zh-CN"/>
        </w:rPr>
        <w:t>obtain</w:t>
      </w:r>
      <w:r>
        <w:rPr>
          <w:rFonts w:hint="eastAsia"/>
          <w:lang w:eastAsia="zh-CN"/>
        </w:rPr>
        <w:t xml:space="preserve"> certificates which could help commercialize these products in Hainan. For example, no products of Wuzhishan pig, Shanlan rice or Jiaji duck have been issued the certificates, and no products of Jiaji duck or Shanlan rice have been issued the indication.</w:t>
      </w:r>
      <w:r w:rsidR="00637FDC">
        <w:rPr>
          <w:lang w:eastAsia="zh-CN"/>
        </w:rPr>
        <w:t xml:space="preserve"> </w:t>
      </w:r>
      <w:r w:rsidR="00013E9E">
        <w:rPr>
          <w:lang w:eastAsia="zh-CN"/>
        </w:rPr>
        <w:t xml:space="preserve">In 2017, the Shanlan Rice Culture was designated as one of the </w:t>
      </w:r>
      <w:r w:rsidR="00013E9E" w:rsidRPr="00FC0097">
        <w:t>Nationally Important Agricultural Heritage Systems</w:t>
      </w:r>
      <w:r w:rsidR="00013E9E">
        <w:t xml:space="preserve"> (NIA</w:t>
      </w:r>
      <w:r w:rsidR="00F92992">
        <w:t>HS</w:t>
      </w:r>
      <w:r w:rsidR="00013E9E">
        <w:t xml:space="preserve">) in China, part of the </w:t>
      </w:r>
      <w:r w:rsidR="00013E9E" w:rsidRPr="00FC0097">
        <w:t>Globally Important Agricultural Heritage Systems (GIAHS) program</w:t>
      </w:r>
      <w:r w:rsidR="00013E9E">
        <w:t xml:space="preserve"> jointly run by the Ministry of Agriculture and Rural Affairs and the United Nations Food and Agriculture Organization (FAO).</w:t>
      </w:r>
    </w:p>
    <w:p w14:paraId="7A68DD95" w14:textId="77777777" w:rsidR="00CB579F" w:rsidRDefault="00682679">
      <w:pPr>
        <w:pStyle w:val="Heading1"/>
        <w:rPr>
          <w:color w:val="002060"/>
        </w:rPr>
      </w:pPr>
      <w:r>
        <w:rPr>
          <w:color w:val="002060"/>
        </w:rPr>
        <w:t xml:space="preserve">Knowledge Management </w:t>
      </w:r>
    </w:p>
    <w:p w14:paraId="2409A294" w14:textId="77777777" w:rsidR="00CB579F" w:rsidRDefault="00682679">
      <w:pPr>
        <w:pStyle w:val="Heading2"/>
      </w:pPr>
      <w:r>
        <w:t>Baseline Analysis</w:t>
      </w:r>
    </w:p>
    <w:p w14:paraId="20AEDA1D" w14:textId="77777777" w:rsidR="00CB579F" w:rsidRDefault="00682679">
      <w:bookmarkStart w:id="7" w:name="_Hlk534195965"/>
      <w:r>
        <w:rPr>
          <w:rFonts w:hint="eastAsia"/>
        </w:rPr>
        <w:t>At the national level,</w:t>
      </w:r>
      <w:r>
        <w:t xml:space="preserve"> the</w:t>
      </w:r>
      <w:r>
        <w:rPr>
          <w:rFonts w:hint="eastAsia"/>
        </w:rPr>
        <w:t xml:space="preserve"> </w:t>
      </w:r>
      <w:r>
        <w:t xml:space="preserve">Ministry of Agriculture and Rural Affairs (MARA) and the Ministry of Science and Technology are the main governmental bodies responsible for development, promotion and administration of knowledge management. Under MARA, the Department of Science, Technology and Education is mainly responsible for knowledge management, and Department of Crop Production, Department of Livestock Production and Bureau of Seed management usually play minor roles in, but sometimes dominate, collection of information of germplasms and other agricultural biological resources. Under the Ministry of Science and Technology, the Department of Science and Technology for Rural Development is responsible for knowledge management related to conservation and sustainable use of agrobiodiversity, focusing on the basic science side with specific research goals. Moreover, the National Forestry and Grassland Administration and the State Administration of Traditional Chinese Medicine are involved in agrobiodiversity in some cases. </w:t>
      </w:r>
    </w:p>
    <w:p w14:paraId="6EF255E9" w14:textId="3BD1AB0C" w:rsidR="00CB579F" w:rsidRDefault="00682679">
      <w:pPr>
        <w:rPr>
          <w:lang w:eastAsia="zh-CN"/>
        </w:rPr>
      </w:pPr>
      <w:r>
        <w:rPr>
          <w:rFonts w:hint="eastAsia"/>
        </w:rPr>
        <w:t xml:space="preserve">At the </w:t>
      </w:r>
      <w:r>
        <w:t xml:space="preserve">provincial </w:t>
      </w:r>
      <w:r>
        <w:rPr>
          <w:rFonts w:hint="eastAsia"/>
        </w:rPr>
        <w:t xml:space="preserve">level, </w:t>
      </w:r>
      <w:r>
        <w:t xml:space="preserve">the Hainan Provincial Department of Agriculture </w:t>
      </w:r>
      <w:r>
        <w:rPr>
          <w:rFonts w:hint="eastAsia"/>
          <w:lang w:eastAsia="zh-CN"/>
        </w:rPr>
        <w:t xml:space="preserve">and Rural </w:t>
      </w:r>
      <w:r w:rsidR="003B29BC">
        <w:rPr>
          <w:lang w:eastAsia="zh-CN"/>
        </w:rPr>
        <w:t>areas Affairs (DARA)</w:t>
      </w:r>
      <w:r>
        <w:rPr>
          <w:rFonts w:hint="eastAsia"/>
          <w:lang w:eastAsia="zh-CN"/>
        </w:rPr>
        <w:t xml:space="preserve"> </w:t>
      </w:r>
      <w:r>
        <w:t xml:space="preserve">is responsible for agrobiodiversity knowledge management, while the Hainan Provincial Department of Science and Technology and Forestry Department of Hainan Province play important roles in part of the work.  In each city and county, there is an agricultural bureau, and in some cities and counties, there is an animal husbandry bureau; also, at the township level, there are agricultural </w:t>
      </w:r>
      <w:r>
        <w:rPr>
          <w:lang w:eastAsia="zh-CN"/>
        </w:rPr>
        <w:t>stations (for popularizing agricultural techniques). Regarding agrobiodiversity management, cross-sectoral systems are not well developed, and thus activities involving inter-department cooperation are very limited.</w:t>
      </w:r>
    </w:p>
    <w:p w14:paraId="61D6C181" w14:textId="77777777" w:rsidR="00CB579F" w:rsidRDefault="00682679">
      <w:pPr>
        <w:rPr>
          <w:lang w:eastAsia="zh-CN"/>
        </w:rPr>
      </w:pPr>
      <w:r>
        <w:rPr>
          <w:lang w:eastAsia="zh-CN"/>
        </w:rPr>
        <w:t>Research institutions are also actively involved in knowledge management of agrobiodiversity issues. At the national level, the Chinese Academy of Agricultural Sciences (CAAS) and the Chinese Academy of Tropical Agricultural Sciences (CATAS) are the main institutions that develop and administer agrobiodiversity knowledge management systems. The technical aspects are delegated to the Institute of Crop Sciences of the Chinese Academy of Agricultural Sciences and the Crop Genetic Resources Institute of the Academy of Tropical Agricultural Sciences. At the provincial level, the Hainan Provincial Academy of Agricultural Sciences and the Hainan University are involved in knowledge management involving agrobiodiversity. Due to limited financial support, research activities are, however, limited. For example, information regarding collection</w:t>
      </w:r>
      <w:r>
        <w:rPr>
          <w:rFonts w:hint="eastAsia"/>
          <w:lang w:eastAsia="zh-CN"/>
        </w:rPr>
        <w:t xml:space="preserve"> or </w:t>
      </w:r>
      <w:r>
        <w:rPr>
          <w:lang w:eastAsia="zh-CN"/>
        </w:rPr>
        <w:t xml:space="preserve">protection of germplasms and their background is not sufficient enough considering the rich resources in Hainan. </w:t>
      </w:r>
    </w:p>
    <w:p w14:paraId="06CA676E" w14:textId="77777777" w:rsidR="00CB579F" w:rsidRDefault="00682679">
      <w:pPr>
        <w:rPr>
          <w:lang w:eastAsia="zh-CN"/>
        </w:rPr>
      </w:pPr>
      <w:r>
        <w:rPr>
          <w:lang w:eastAsia="zh-CN"/>
        </w:rPr>
        <w:t xml:space="preserve">Knowledge products are shared to farmers mainly through training. The </w:t>
      </w:r>
      <w:r>
        <w:t xml:space="preserve">Department of Science, Technology and Education of MARA is in charge of the development of training plans and administration at the national level. At the provincial level, the Unit of Science, Technology and Education under DARA and the Hainan Provincial Academy of Agricultural Sciences are responsible for organizing and running training courses. Financial departments at the city and county levels provide additional financial support for the trainings. Summing up, each city and county has budget of CNY 0.8-0.9 million (approx. USD 0.12-0.13 million) for training. There is a training center based at the Chinese Academy of Tropical Agricultural Sciences that is actively involved in delivering trainings. From 2014, the center has organized over 100 training sessions, with over 10,000 farmers trained in Hainan. However, training courses mostly focus on techniques regarding horticulture and animal husbandry and on how to raise income, while very limited efforts have been made to capacitate and promote awareness on conservation and sustainable use of agrobiodiversity. </w:t>
      </w:r>
    </w:p>
    <w:p w14:paraId="1DEE9A37" w14:textId="77777777" w:rsidR="00CB579F" w:rsidRDefault="00682679">
      <w:pPr>
        <w:rPr>
          <w:lang w:eastAsia="zh-CN"/>
        </w:rPr>
      </w:pPr>
      <w:r>
        <w:rPr>
          <w:rFonts w:hint="eastAsia"/>
          <w:lang w:eastAsia="zh-CN"/>
        </w:rPr>
        <w:t xml:space="preserve">Knowledge products are shared </w:t>
      </w:r>
      <w:r>
        <w:rPr>
          <w:lang w:eastAsia="zh-CN"/>
        </w:rPr>
        <w:t>with the public mostly through web-based databases. The National Platform of Plant Germplasms has made public information on over 470,000 germplasms for 340 crops (http://www.cgris.net/). The National Infrastructure of Domestic Animal Resources has an information sharing platform, but little specific information is provided on the website (http://www.cdad-is.org.cn/). The National Data Center for Rice provides germplasm information for rice species, including Shanlan rice, specifically. However, available information is not organized and is not straightforward for users. There is no integrative platform available for knowledge sharing either at the national or provincial level</w:t>
      </w:r>
      <w:bookmarkEnd w:id="7"/>
      <w:r>
        <w:rPr>
          <w:lang w:eastAsia="zh-CN"/>
        </w:rPr>
        <w:t>.</w:t>
      </w:r>
    </w:p>
    <w:p w14:paraId="1CED4124" w14:textId="5F9DAA90" w:rsidR="00CB579F" w:rsidRDefault="00682679">
      <w:pPr>
        <w:rPr>
          <w:lang w:eastAsia="zh-CN"/>
        </w:rPr>
      </w:pPr>
      <w:r>
        <w:rPr>
          <w:rFonts w:hint="eastAsia"/>
          <w:lang w:eastAsia="zh-CN"/>
        </w:rPr>
        <w:t xml:space="preserve">A database of local germplasms is under development by Hainan Provincial Academy of Agricultural Sciences. It is not decided to be released publicly. Because DARA and Hainan Academy of Agricultural Sciences have very close relationship under Hainan government, this database could be integrated </w:t>
      </w:r>
      <w:r w:rsidR="00996B1E">
        <w:rPr>
          <w:lang w:eastAsia="zh-CN"/>
        </w:rPr>
        <w:t xml:space="preserve">during the implementation phase of the C-SAP </w:t>
      </w:r>
      <w:r w:rsidR="00013E9E">
        <w:rPr>
          <w:lang w:eastAsia="zh-CN"/>
        </w:rPr>
        <w:t>project.</w:t>
      </w:r>
      <w:r>
        <w:rPr>
          <w:rFonts w:hint="eastAsia"/>
          <w:lang w:eastAsia="zh-CN"/>
        </w:rPr>
        <w:t xml:space="preserve">  </w:t>
      </w:r>
    </w:p>
    <w:p w14:paraId="54E8CF2E" w14:textId="77777777" w:rsidR="00CB579F" w:rsidRDefault="00682679">
      <w:pPr>
        <w:jc w:val="center"/>
        <w:rPr>
          <w:lang w:eastAsia="zh-CN"/>
        </w:rPr>
      </w:pPr>
      <w:r>
        <w:rPr>
          <w:lang w:eastAsia="zh-CN"/>
        </w:rPr>
        <w:t>***</w:t>
      </w:r>
    </w:p>
    <w:p w14:paraId="0260EE08" w14:textId="77777777" w:rsidR="00CB579F" w:rsidRDefault="00682679">
      <w:pPr>
        <w:rPr>
          <w:lang w:eastAsia="zh-CN"/>
        </w:rPr>
      </w:pPr>
      <w:r>
        <w:rPr>
          <w:rFonts w:hint="eastAsia"/>
          <w:lang w:eastAsia="zh-CN"/>
        </w:rPr>
        <w:t>References:</w:t>
      </w:r>
    </w:p>
    <w:p w14:paraId="5B9865F9" w14:textId="77777777" w:rsidR="00CB579F" w:rsidRDefault="007D529C">
      <w:pPr>
        <w:pStyle w:val="ListParagraph"/>
        <w:numPr>
          <w:ilvl w:val="0"/>
          <w:numId w:val="4"/>
        </w:numPr>
        <w:rPr>
          <w:lang w:eastAsia="zh-CN"/>
        </w:rPr>
      </w:pPr>
      <w:hyperlink r:id="rId9" w:history="1">
        <w:r w:rsidR="00682679">
          <w:rPr>
            <w:rStyle w:val="Hyperlink"/>
            <w:lang w:eastAsia="zh-CN"/>
          </w:rPr>
          <w:t>http://www.xinhuanet.com/politics/2018-04/13/c_1122680495.htm</w:t>
        </w:r>
      </w:hyperlink>
    </w:p>
    <w:p w14:paraId="008CDCBA" w14:textId="77777777" w:rsidR="00CB579F" w:rsidRDefault="007D529C">
      <w:pPr>
        <w:pStyle w:val="ListParagraph"/>
        <w:numPr>
          <w:ilvl w:val="0"/>
          <w:numId w:val="4"/>
        </w:numPr>
        <w:rPr>
          <w:lang w:eastAsia="zh-CN"/>
        </w:rPr>
      </w:pPr>
      <w:hyperlink r:id="rId10" w:history="1">
        <w:r w:rsidR="00682679">
          <w:rPr>
            <w:rStyle w:val="Hyperlink"/>
            <w:lang w:eastAsia="zh-CN"/>
          </w:rPr>
          <w:t>http://www.hainan.gov.cn/hn/zwgk/zfwj/szfwj/201801/t20180102_2515736.html</w:t>
        </w:r>
      </w:hyperlink>
    </w:p>
    <w:p w14:paraId="36FC78D4" w14:textId="5EE1950C" w:rsidR="00CB579F" w:rsidRDefault="007D529C">
      <w:pPr>
        <w:pStyle w:val="ListParagraph"/>
        <w:numPr>
          <w:ilvl w:val="0"/>
          <w:numId w:val="4"/>
        </w:numPr>
        <w:rPr>
          <w:lang w:eastAsia="zh-CN"/>
        </w:rPr>
      </w:pPr>
      <w:hyperlink r:id="rId11" w:history="1">
        <w:r w:rsidR="00013E9E" w:rsidRPr="00703963">
          <w:rPr>
            <w:rStyle w:val="Hyperlink"/>
            <w:lang w:eastAsia="zh-CN"/>
          </w:rPr>
          <w:t>http://www.hainan.gov.cn/hn/zt/szrdl/hbdczhn/jcbs/201709/t20170925_2431803.html</w:t>
        </w:r>
      </w:hyperlink>
      <w:r w:rsidR="00013E9E">
        <w:rPr>
          <w:lang w:eastAsia="zh-CN"/>
        </w:rPr>
        <w:t xml:space="preserve"> </w:t>
      </w:r>
    </w:p>
    <w:p w14:paraId="0EB42BC5" w14:textId="77777777" w:rsidR="00CB579F" w:rsidRDefault="00682679">
      <w:pPr>
        <w:pStyle w:val="ListParagraph"/>
        <w:numPr>
          <w:ilvl w:val="0"/>
          <w:numId w:val="4"/>
        </w:numPr>
        <w:rPr>
          <w:rStyle w:val="Hyperlink"/>
        </w:rPr>
      </w:pPr>
      <w:r>
        <w:rPr>
          <w:rStyle w:val="Hyperlink"/>
        </w:rPr>
        <w:t>h</w:t>
      </w:r>
      <w:r>
        <w:rPr>
          <w:rStyle w:val="Hyperlink"/>
          <w:lang w:eastAsia="zh-CN"/>
        </w:rPr>
        <w:t>ttp://web.hainan.gov.cn/hainan/ghjh/201804/686eafa22b5b458c875feda2d60f7064.shtml</w:t>
      </w:r>
    </w:p>
    <w:p w14:paraId="633AE237" w14:textId="77777777" w:rsidR="00CB579F" w:rsidRDefault="00CB579F">
      <w:pPr>
        <w:pStyle w:val="Heading1"/>
        <w:numPr>
          <w:ilvl w:val="0"/>
          <w:numId w:val="0"/>
        </w:numPr>
        <w:rPr>
          <w:color w:val="002060"/>
          <w:lang w:eastAsia="zh-CN"/>
        </w:rPr>
      </w:pPr>
    </w:p>
    <w:p w14:paraId="65055123" w14:textId="77777777" w:rsidR="00CB579F" w:rsidRDefault="00CB579F"/>
    <w:sectPr w:rsidR="00CB579F">
      <w:footerReference w:type="default" r:id="rId12"/>
      <w:pgSz w:w="11907" w:h="1683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432F32" w14:textId="77777777" w:rsidR="007D529C" w:rsidRDefault="007D529C">
      <w:pPr>
        <w:spacing w:before="0" w:after="0"/>
      </w:pPr>
      <w:r>
        <w:separator/>
      </w:r>
    </w:p>
  </w:endnote>
  <w:endnote w:type="continuationSeparator" w:id="0">
    <w:p w14:paraId="39D3B5EE" w14:textId="77777777" w:rsidR="007D529C" w:rsidRDefault="007D529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A5F2E0" w14:textId="4F31A7B5" w:rsidR="00CB579F" w:rsidRDefault="00682679">
    <w:pPr>
      <w:pStyle w:val="Footer"/>
      <w:pBdr>
        <w:top w:val="single" w:sz="4" w:space="4" w:color="000000" w:themeColor="text1"/>
      </w:pBdr>
      <w:tabs>
        <w:tab w:val="clear" w:pos="9406"/>
        <w:tab w:val="right" w:pos="9605"/>
      </w:tabs>
      <w:ind w:right="-2"/>
      <w:jc w:val="left"/>
      <w:rPr>
        <w:rFonts w:ascii="Calibri" w:hAnsi="Calibri"/>
        <w:sz w:val="16"/>
      </w:rPr>
    </w:pPr>
    <w:r>
      <w:rPr>
        <w:rFonts w:ascii="Calibri" w:hAnsi="Calibri"/>
        <w:sz w:val="16"/>
      </w:rPr>
      <w:fldChar w:fldCharType="begin"/>
    </w:r>
    <w:r>
      <w:rPr>
        <w:rFonts w:ascii="Calibri" w:hAnsi="Calibri"/>
        <w:sz w:val="16"/>
      </w:rPr>
      <w:instrText xml:space="preserve"> FILENAME   \* MERGEFORMAT </w:instrText>
    </w:r>
    <w:r>
      <w:rPr>
        <w:rFonts w:ascii="Calibri" w:hAnsi="Calibri"/>
        <w:sz w:val="16"/>
      </w:rPr>
      <w:fldChar w:fldCharType="separate"/>
    </w:r>
    <w:r w:rsidR="00F92992">
      <w:rPr>
        <w:rFonts w:ascii="Calibri" w:hAnsi="Calibri"/>
        <w:noProof/>
        <w:sz w:val="16"/>
      </w:rPr>
      <w:t>Annex K_5823_CSAP_Hainan_Policy Baseline_31Jan2019</w:t>
    </w:r>
    <w:r>
      <w:rPr>
        <w:rFonts w:ascii="Calibri" w:hAnsi="Calibri"/>
        <w:sz w:val="16"/>
      </w:rPr>
      <w:fldChar w:fldCharType="end"/>
    </w:r>
    <w:r>
      <w:rPr>
        <w:rFonts w:ascii="Calibri" w:hAnsi="Calibri"/>
        <w:sz w:val="16"/>
      </w:rPr>
      <w:tab/>
    </w:r>
    <w:r>
      <w:rPr>
        <w:rFonts w:ascii="Calibri" w:hAnsi="Calibri"/>
        <w:sz w:val="16"/>
      </w:rPr>
      <w:tab/>
    </w:r>
    <w:r>
      <w:rPr>
        <w:rFonts w:ascii="Calibri" w:hAnsi="Calibri"/>
        <w:sz w:val="16"/>
        <w:lang w:eastAsia="zh-CN"/>
      </w:rPr>
      <w:t xml:space="preserve">Page </w:t>
    </w:r>
    <w:r>
      <w:rPr>
        <w:rFonts w:ascii="Calibri" w:hAnsi="Calibri"/>
        <w:sz w:val="16"/>
        <w:lang w:eastAsia="zh-CN"/>
      </w:rPr>
      <w:fldChar w:fldCharType="begin"/>
    </w:r>
    <w:r>
      <w:rPr>
        <w:rFonts w:ascii="Calibri" w:hAnsi="Calibri"/>
        <w:sz w:val="16"/>
        <w:lang w:eastAsia="zh-CN"/>
      </w:rPr>
      <w:instrText xml:space="preserve"> PAGE   \* MERGEFORMAT </w:instrText>
    </w:r>
    <w:r>
      <w:rPr>
        <w:rFonts w:ascii="Calibri" w:hAnsi="Calibri"/>
        <w:sz w:val="16"/>
        <w:lang w:eastAsia="zh-CN"/>
      </w:rPr>
      <w:fldChar w:fldCharType="separate"/>
    </w:r>
    <w:r>
      <w:rPr>
        <w:rFonts w:ascii="Calibri" w:hAnsi="Calibri"/>
        <w:sz w:val="16"/>
        <w:lang w:eastAsia="zh-CN"/>
      </w:rPr>
      <w:t>1</w:t>
    </w:r>
    <w:r>
      <w:rPr>
        <w:rFonts w:ascii="Calibri" w:hAnsi="Calibri"/>
        <w:sz w:val="16"/>
        <w:lang w:eastAsia="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F31025" w14:textId="77777777" w:rsidR="007D529C" w:rsidRDefault="007D529C">
      <w:pPr>
        <w:spacing w:before="0" w:after="0"/>
      </w:pPr>
      <w:r>
        <w:separator/>
      </w:r>
    </w:p>
  </w:footnote>
  <w:footnote w:type="continuationSeparator" w:id="0">
    <w:p w14:paraId="66B2E01E" w14:textId="77777777" w:rsidR="007D529C" w:rsidRDefault="007D529C">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34350F"/>
    <w:multiLevelType w:val="multilevel"/>
    <w:tmpl w:val="2E34350F"/>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61C157E"/>
    <w:multiLevelType w:val="multilevel"/>
    <w:tmpl w:val="361C157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602F2F25"/>
    <w:multiLevelType w:val="multilevel"/>
    <w:tmpl w:val="602F2F2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729923DF"/>
    <w:multiLevelType w:val="multilevel"/>
    <w:tmpl w:val="729923D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00BCD"/>
    <w:rsid w:val="000132EF"/>
    <w:rsid w:val="00013E9E"/>
    <w:rsid w:val="000153E5"/>
    <w:rsid w:val="00017E2A"/>
    <w:rsid w:val="000216AE"/>
    <w:rsid w:val="000222CC"/>
    <w:rsid w:val="0002408D"/>
    <w:rsid w:val="00024977"/>
    <w:rsid w:val="000427E8"/>
    <w:rsid w:val="000603CE"/>
    <w:rsid w:val="0006652D"/>
    <w:rsid w:val="00067800"/>
    <w:rsid w:val="00073D4B"/>
    <w:rsid w:val="00081FD8"/>
    <w:rsid w:val="00083D21"/>
    <w:rsid w:val="00094AC8"/>
    <w:rsid w:val="000A4627"/>
    <w:rsid w:val="000B08ED"/>
    <w:rsid w:val="000B1D74"/>
    <w:rsid w:val="000B25D9"/>
    <w:rsid w:val="000C1864"/>
    <w:rsid w:val="000C3705"/>
    <w:rsid w:val="000C61AC"/>
    <w:rsid w:val="000C754B"/>
    <w:rsid w:val="000D1C42"/>
    <w:rsid w:val="000E2C19"/>
    <w:rsid w:val="000E4737"/>
    <w:rsid w:val="000E4816"/>
    <w:rsid w:val="000E6A45"/>
    <w:rsid w:val="000F0822"/>
    <w:rsid w:val="000F15A6"/>
    <w:rsid w:val="000F5A70"/>
    <w:rsid w:val="0011305F"/>
    <w:rsid w:val="00117658"/>
    <w:rsid w:val="001178EA"/>
    <w:rsid w:val="00140432"/>
    <w:rsid w:val="00142DC9"/>
    <w:rsid w:val="001500CF"/>
    <w:rsid w:val="00161F7C"/>
    <w:rsid w:val="001634C7"/>
    <w:rsid w:val="00170929"/>
    <w:rsid w:val="0017270E"/>
    <w:rsid w:val="00173A8C"/>
    <w:rsid w:val="00174038"/>
    <w:rsid w:val="0017478C"/>
    <w:rsid w:val="00176912"/>
    <w:rsid w:val="00182CBE"/>
    <w:rsid w:val="00187F28"/>
    <w:rsid w:val="001949F3"/>
    <w:rsid w:val="001A03DD"/>
    <w:rsid w:val="001A1451"/>
    <w:rsid w:val="001A581A"/>
    <w:rsid w:val="001C0EB5"/>
    <w:rsid w:val="001C2A81"/>
    <w:rsid w:val="001C30CB"/>
    <w:rsid w:val="001C4D13"/>
    <w:rsid w:val="001D63FD"/>
    <w:rsid w:val="001E0374"/>
    <w:rsid w:val="001E44B4"/>
    <w:rsid w:val="001E52D7"/>
    <w:rsid w:val="001E6B11"/>
    <w:rsid w:val="001F5875"/>
    <w:rsid w:val="001F5DF3"/>
    <w:rsid w:val="00200B92"/>
    <w:rsid w:val="0020489D"/>
    <w:rsid w:val="00213A45"/>
    <w:rsid w:val="00230622"/>
    <w:rsid w:val="00233033"/>
    <w:rsid w:val="00233771"/>
    <w:rsid w:val="0024541A"/>
    <w:rsid w:val="00254B4A"/>
    <w:rsid w:val="002566D7"/>
    <w:rsid w:val="00262617"/>
    <w:rsid w:val="002672C8"/>
    <w:rsid w:val="002722B9"/>
    <w:rsid w:val="00280A35"/>
    <w:rsid w:val="002837AE"/>
    <w:rsid w:val="002A3849"/>
    <w:rsid w:val="002B14A5"/>
    <w:rsid w:val="002B304D"/>
    <w:rsid w:val="002B440A"/>
    <w:rsid w:val="002B6C02"/>
    <w:rsid w:val="002C5E42"/>
    <w:rsid w:val="002D1984"/>
    <w:rsid w:val="002D20E5"/>
    <w:rsid w:val="002E708B"/>
    <w:rsid w:val="002F41A0"/>
    <w:rsid w:val="002F48DC"/>
    <w:rsid w:val="00312C5D"/>
    <w:rsid w:val="00314870"/>
    <w:rsid w:val="00326FC7"/>
    <w:rsid w:val="00343FB0"/>
    <w:rsid w:val="003448C1"/>
    <w:rsid w:val="00347F29"/>
    <w:rsid w:val="00354221"/>
    <w:rsid w:val="0035699F"/>
    <w:rsid w:val="00361A4A"/>
    <w:rsid w:val="003721A6"/>
    <w:rsid w:val="0038144F"/>
    <w:rsid w:val="00381E4C"/>
    <w:rsid w:val="00384DFF"/>
    <w:rsid w:val="00387C5D"/>
    <w:rsid w:val="003954FF"/>
    <w:rsid w:val="003B29BC"/>
    <w:rsid w:val="003C0B3F"/>
    <w:rsid w:val="003C3C9F"/>
    <w:rsid w:val="003D3F31"/>
    <w:rsid w:val="003E1DEF"/>
    <w:rsid w:val="003E208B"/>
    <w:rsid w:val="003E7E5E"/>
    <w:rsid w:val="0040571E"/>
    <w:rsid w:val="00410E4F"/>
    <w:rsid w:val="0041472C"/>
    <w:rsid w:val="00421938"/>
    <w:rsid w:val="00421EFC"/>
    <w:rsid w:val="00425FE7"/>
    <w:rsid w:val="00427C0C"/>
    <w:rsid w:val="00434D41"/>
    <w:rsid w:val="00436089"/>
    <w:rsid w:val="004422C5"/>
    <w:rsid w:val="00444593"/>
    <w:rsid w:val="00447FD5"/>
    <w:rsid w:val="0045111C"/>
    <w:rsid w:val="00452A0D"/>
    <w:rsid w:val="00460F82"/>
    <w:rsid w:val="00461705"/>
    <w:rsid w:val="0047134F"/>
    <w:rsid w:val="00474FFC"/>
    <w:rsid w:val="00496441"/>
    <w:rsid w:val="004A1468"/>
    <w:rsid w:val="004A64BB"/>
    <w:rsid w:val="004C7A2D"/>
    <w:rsid w:val="004D012D"/>
    <w:rsid w:val="004D2CB3"/>
    <w:rsid w:val="004D6D24"/>
    <w:rsid w:val="004E1ECB"/>
    <w:rsid w:val="004E5223"/>
    <w:rsid w:val="004F29CC"/>
    <w:rsid w:val="00503CAF"/>
    <w:rsid w:val="00511CBD"/>
    <w:rsid w:val="005211B3"/>
    <w:rsid w:val="00522FA8"/>
    <w:rsid w:val="00523253"/>
    <w:rsid w:val="00536755"/>
    <w:rsid w:val="0053729F"/>
    <w:rsid w:val="005379A1"/>
    <w:rsid w:val="0055641A"/>
    <w:rsid w:val="005674A4"/>
    <w:rsid w:val="00594249"/>
    <w:rsid w:val="005A6179"/>
    <w:rsid w:val="005B199D"/>
    <w:rsid w:val="005B4757"/>
    <w:rsid w:val="005C4012"/>
    <w:rsid w:val="005D5CB5"/>
    <w:rsid w:val="005E0E5A"/>
    <w:rsid w:val="005E44FE"/>
    <w:rsid w:val="005F0219"/>
    <w:rsid w:val="005F2977"/>
    <w:rsid w:val="005F3577"/>
    <w:rsid w:val="00602289"/>
    <w:rsid w:val="00612018"/>
    <w:rsid w:val="00625202"/>
    <w:rsid w:val="0063607F"/>
    <w:rsid w:val="00637FDC"/>
    <w:rsid w:val="0064674C"/>
    <w:rsid w:val="0066261B"/>
    <w:rsid w:val="00666505"/>
    <w:rsid w:val="00666D6A"/>
    <w:rsid w:val="0067054D"/>
    <w:rsid w:val="00681EBE"/>
    <w:rsid w:val="00682679"/>
    <w:rsid w:val="006844E5"/>
    <w:rsid w:val="00684D4D"/>
    <w:rsid w:val="006B07B3"/>
    <w:rsid w:val="006B0B2F"/>
    <w:rsid w:val="006C0EC0"/>
    <w:rsid w:val="006C5C04"/>
    <w:rsid w:val="006D03C4"/>
    <w:rsid w:val="006D052F"/>
    <w:rsid w:val="006D0AB3"/>
    <w:rsid w:val="006E0A7F"/>
    <w:rsid w:val="006E2FFA"/>
    <w:rsid w:val="006E3BBC"/>
    <w:rsid w:val="006E5603"/>
    <w:rsid w:val="006E6217"/>
    <w:rsid w:val="006E69C2"/>
    <w:rsid w:val="006F2918"/>
    <w:rsid w:val="006F46D4"/>
    <w:rsid w:val="00703F61"/>
    <w:rsid w:val="00704B9C"/>
    <w:rsid w:val="0071190F"/>
    <w:rsid w:val="00711DF5"/>
    <w:rsid w:val="007173DF"/>
    <w:rsid w:val="00722630"/>
    <w:rsid w:val="00734B8F"/>
    <w:rsid w:val="00742E54"/>
    <w:rsid w:val="007432CF"/>
    <w:rsid w:val="00746B4C"/>
    <w:rsid w:val="00761881"/>
    <w:rsid w:val="007633AA"/>
    <w:rsid w:val="00763FDA"/>
    <w:rsid w:val="007642D6"/>
    <w:rsid w:val="007744D6"/>
    <w:rsid w:val="00777B0C"/>
    <w:rsid w:val="00796942"/>
    <w:rsid w:val="007A370E"/>
    <w:rsid w:val="007C0DA6"/>
    <w:rsid w:val="007D1052"/>
    <w:rsid w:val="007D2045"/>
    <w:rsid w:val="007D2DE9"/>
    <w:rsid w:val="007D5257"/>
    <w:rsid w:val="007D529C"/>
    <w:rsid w:val="007D59DF"/>
    <w:rsid w:val="007E360E"/>
    <w:rsid w:val="007E68B7"/>
    <w:rsid w:val="007F25C3"/>
    <w:rsid w:val="0080725C"/>
    <w:rsid w:val="00825AB8"/>
    <w:rsid w:val="00842048"/>
    <w:rsid w:val="00862BFE"/>
    <w:rsid w:val="00864BC9"/>
    <w:rsid w:val="00866919"/>
    <w:rsid w:val="00873E20"/>
    <w:rsid w:val="0088369D"/>
    <w:rsid w:val="00884B78"/>
    <w:rsid w:val="008A44B4"/>
    <w:rsid w:val="008D0655"/>
    <w:rsid w:val="008D0BB0"/>
    <w:rsid w:val="008D142E"/>
    <w:rsid w:val="008E0FAD"/>
    <w:rsid w:val="008E7B79"/>
    <w:rsid w:val="008F5921"/>
    <w:rsid w:val="00900278"/>
    <w:rsid w:val="00925111"/>
    <w:rsid w:val="00926340"/>
    <w:rsid w:val="009308E6"/>
    <w:rsid w:val="00950E6A"/>
    <w:rsid w:val="00956D32"/>
    <w:rsid w:val="00956E90"/>
    <w:rsid w:val="00966108"/>
    <w:rsid w:val="00967DE1"/>
    <w:rsid w:val="0097044F"/>
    <w:rsid w:val="009865E9"/>
    <w:rsid w:val="009930C6"/>
    <w:rsid w:val="00993EA5"/>
    <w:rsid w:val="00996B1E"/>
    <w:rsid w:val="009A0C2D"/>
    <w:rsid w:val="009A203B"/>
    <w:rsid w:val="009B1122"/>
    <w:rsid w:val="009B2A30"/>
    <w:rsid w:val="009B4D05"/>
    <w:rsid w:val="009B67AD"/>
    <w:rsid w:val="009B67F2"/>
    <w:rsid w:val="009C6768"/>
    <w:rsid w:val="009C6820"/>
    <w:rsid w:val="009D0F35"/>
    <w:rsid w:val="009D125C"/>
    <w:rsid w:val="009D55A8"/>
    <w:rsid w:val="009E06FC"/>
    <w:rsid w:val="009E0DDD"/>
    <w:rsid w:val="009F1FC4"/>
    <w:rsid w:val="009F3B2A"/>
    <w:rsid w:val="00A01332"/>
    <w:rsid w:val="00A15A6E"/>
    <w:rsid w:val="00A64272"/>
    <w:rsid w:val="00A75F45"/>
    <w:rsid w:val="00A81A94"/>
    <w:rsid w:val="00A9773D"/>
    <w:rsid w:val="00AA65C4"/>
    <w:rsid w:val="00AB0514"/>
    <w:rsid w:val="00AB208C"/>
    <w:rsid w:val="00AB7A4F"/>
    <w:rsid w:val="00AD1F7F"/>
    <w:rsid w:val="00AD2CBB"/>
    <w:rsid w:val="00AE0AF6"/>
    <w:rsid w:val="00B05681"/>
    <w:rsid w:val="00B111B9"/>
    <w:rsid w:val="00B200AD"/>
    <w:rsid w:val="00B20DCD"/>
    <w:rsid w:val="00B26C6A"/>
    <w:rsid w:val="00B2727D"/>
    <w:rsid w:val="00B362E0"/>
    <w:rsid w:val="00B36581"/>
    <w:rsid w:val="00B53B8B"/>
    <w:rsid w:val="00B63CFA"/>
    <w:rsid w:val="00B77856"/>
    <w:rsid w:val="00B8618E"/>
    <w:rsid w:val="00B92976"/>
    <w:rsid w:val="00B93166"/>
    <w:rsid w:val="00BA17D4"/>
    <w:rsid w:val="00BA6025"/>
    <w:rsid w:val="00BA7BB0"/>
    <w:rsid w:val="00BB6A51"/>
    <w:rsid w:val="00BC511C"/>
    <w:rsid w:val="00BC541E"/>
    <w:rsid w:val="00BD4E55"/>
    <w:rsid w:val="00BD553B"/>
    <w:rsid w:val="00BE623B"/>
    <w:rsid w:val="00C40881"/>
    <w:rsid w:val="00C479D7"/>
    <w:rsid w:val="00C511B6"/>
    <w:rsid w:val="00C6456C"/>
    <w:rsid w:val="00C66E28"/>
    <w:rsid w:val="00C760BC"/>
    <w:rsid w:val="00C8110F"/>
    <w:rsid w:val="00C87973"/>
    <w:rsid w:val="00C90384"/>
    <w:rsid w:val="00C9487B"/>
    <w:rsid w:val="00C96DD7"/>
    <w:rsid w:val="00C97BBD"/>
    <w:rsid w:val="00C97E48"/>
    <w:rsid w:val="00CA32DD"/>
    <w:rsid w:val="00CB579F"/>
    <w:rsid w:val="00CB6881"/>
    <w:rsid w:val="00CC1410"/>
    <w:rsid w:val="00CC65B2"/>
    <w:rsid w:val="00CD177B"/>
    <w:rsid w:val="00CD2C7C"/>
    <w:rsid w:val="00CD697B"/>
    <w:rsid w:val="00CE6D67"/>
    <w:rsid w:val="00CF405A"/>
    <w:rsid w:val="00D01C98"/>
    <w:rsid w:val="00D0439C"/>
    <w:rsid w:val="00D06146"/>
    <w:rsid w:val="00D16C49"/>
    <w:rsid w:val="00D23FDB"/>
    <w:rsid w:val="00D338CC"/>
    <w:rsid w:val="00D34857"/>
    <w:rsid w:val="00D3539C"/>
    <w:rsid w:val="00D35678"/>
    <w:rsid w:val="00D36628"/>
    <w:rsid w:val="00D40320"/>
    <w:rsid w:val="00D452B6"/>
    <w:rsid w:val="00D4788D"/>
    <w:rsid w:val="00D505CB"/>
    <w:rsid w:val="00D511E3"/>
    <w:rsid w:val="00D5153A"/>
    <w:rsid w:val="00D543FA"/>
    <w:rsid w:val="00D5691C"/>
    <w:rsid w:val="00D6223A"/>
    <w:rsid w:val="00D75766"/>
    <w:rsid w:val="00D856CC"/>
    <w:rsid w:val="00D9508F"/>
    <w:rsid w:val="00DB2A0B"/>
    <w:rsid w:val="00DB2FC3"/>
    <w:rsid w:val="00DB3D9D"/>
    <w:rsid w:val="00DB4ECC"/>
    <w:rsid w:val="00DC2E39"/>
    <w:rsid w:val="00DE0A8B"/>
    <w:rsid w:val="00DE27F4"/>
    <w:rsid w:val="00DE3FCB"/>
    <w:rsid w:val="00DF54DC"/>
    <w:rsid w:val="00E03C77"/>
    <w:rsid w:val="00E13FA7"/>
    <w:rsid w:val="00E17996"/>
    <w:rsid w:val="00E17B85"/>
    <w:rsid w:val="00E246A5"/>
    <w:rsid w:val="00E250BA"/>
    <w:rsid w:val="00E5414D"/>
    <w:rsid w:val="00E72E7B"/>
    <w:rsid w:val="00E74525"/>
    <w:rsid w:val="00E9621C"/>
    <w:rsid w:val="00EA5199"/>
    <w:rsid w:val="00EA57BB"/>
    <w:rsid w:val="00ED1A83"/>
    <w:rsid w:val="00EE1692"/>
    <w:rsid w:val="00EE47C0"/>
    <w:rsid w:val="00EE5A95"/>
    <w:rsid w:val="00EE60A5"/>
    <w:rsid w:val="00EF0937"/>
    <w:rsid w:val="00EF15B6"/>
    <w:rsid w:val="00EF4884"/>
    <w:rsid w:val="00EF645C"/>
    <w:rsid w:val="00F03EDA"/>
    <w:rsid w:val="00F07A16"/>
    <w:rsid w:val="00F165BB"/>
    <w:rsid w:val="00F16B4A"/>
    <w:rsid w:val="00F16F34"/>
    <w:rsid w:val="00F17048"/>
    <w:rsid w:val="00F20912"/>
    <w:rsid w:val="00F273B0"/>
    <w:rsid w:val="00F42F8A"/>
    <w:rsid w:val="00F5767F"/>
    <w:rsid w:val="00F608DF"/>
    <w:rsid w:val="00F642AD"/>
    <w:rsid w:val="00F74ECE"/>
    <w:rsid w:val="00F860FE"/>
    <w:rsid w:val="00F92992"/>
    <w:rsid w:val="00F93F79"/>
    <w:rsid w:val="00FA4B3A"/>
    <w:rsid w:val="00FA7C80"/>
    <w:rsid w:val="00FC1223"/>
    <w:rsid w:val="00FE7B29"/>
    <w:rsid w:val="00FF07AD"/>
    <w:rsid w:val="00FF6823"/>
    <w:rsid w:val="6B3E66A7"/>
    <w:rsid w:val="703C7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53E1B"/>
  <w15:docId w15:val="{CB69C226-8F1F-40BA-A895-7C7285458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before="120" w:after="120" w:line="240" w:lineRule="auto"/>
      <w:jc w:val="both"/>
    </w:pPr>
    <w:rPr>
      <w:rFonts w:asciiTheme="minorHAnsi" w:eastAsiaTheme="minorEastAsia" w:hAnsiTheme="minorHAnsi" w:cstheme="minorBidi"/>
      <w:szCs w:val="22"/>
    </w:rPr>
  </w:style>
  <w:style w:type="paragraph" w:styleId="Heading1">
    <w:name w:val="heading 1"/>
    <w:basedOn w:val="Normal"/>
    <w:next w:val="Normal"/>
    <w:link w:val="Heading1Char"/>
    <w:uiPriority w:val="9"/>
    <w:qFormat/>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pPr>
      <w:keepNext/>
      <w:keepLines/>
      <w:numPr>
        <w:ilvl w:val="4"/>
        <w:numId w:val="1"/>
      </w:numPr>
      <w:spacing w:before="200" w:after="0"/>
      <w:outlineLvl w:val="4"/>
    </w:pPr>
    <w:rPr>
      <w:rFonts w:asciiTheme="majorHAnsi" w:eastAsiaTheme="majorEastAsia" w:hAnsiTheme="majorHAnsi" w:cstheme="majorBidi"/>
      <w:color w:val="244061" w:themeColor="accent1" w:themeShade="80"/>
    </w:rPr>
  </w:style>
  <w:style w:type="paragraph" w:styleId="Heading6">
    <w:name w:val="heading 6"/>
    <w:basedOn w:val="Normal"/>
    <w:next w:val="Normal"/>
    <w:link w:val="Heading6Char"/>
    <w:uiPriority w:val="9"/>
    <w:semiHidden/>
    <w:unhideWhenUsed/>
    <w:qFormat/>
    <w:pPr>
      <w:keepNext/>
      <w:keepLines/>
      <w:numPr>
        <w:ilvl w:val="5"/>
        <w:numId w:val="1"/>
      </w:numPr>
      <w:spacing w:before="200" w:after="0"/>
      <w:outlineLvl w:val="5"/>
    </w:pPr>
    <w:rPr>
      <w:rFonts w:asciiTheme="majorHAnsi" w:eastAsiaTheme="majorEastAsia" w:hAnsiTheme="majorHAnsi" w:cstheme="majorBidi"/>
      <w:i/>
      <w:iCs/>
      <w:color w:val="244061" w:themeColor="accent1" w:themeShade="80"/>
    </w:rPr>
  </w:style>
  <w:style w:type="paragraph" w:styleId="Heading7">
    <w:name w:val="heading 7"/>
    <w:basedOn w:val="Normal"/>
    <w:next w:val="Normal"/>
    <w:link w:val="Heading7Char"/>
    <w:uiPriority w:val="9"/>
    <w:semiHidden/>
    <w:unhideWhenUsed/>
    <w:qFormat/>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semiHidden/>
    <w:unhideWhenUsed/>
    <w:qFormat/>
    <w:rPr>
      <w:b/>
      <w:bCs/>
    </w:rPr>
  </w:style>
  <w:style w:type="paragraph" w:styleId="CommentText">
    <w:name w:val="annotation text"/>
    <w:basedOn w:val="Normal"/>
    <w:link w:val="CommentTextChar"/>
    <w:uiPriority w:val="99"/>
    <w:semiHidden/>
    <w:unhideWhenUsed/>
    <w:rPr>
      <w:szCs w:val="20"/>
    </w:rPr>
  </w:style>
  <w:style w:type="paragraph" w:styleId="BodyText">
    <w:name w:val="Body Text"/>
    <w:basedOn w:val="Normal"/>
    <w:link w:val="BodyTextChar"/>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paragraph" w:styleId="TOC3">
    <w:name w:val="toc 3"/>
    <w:basedOn w:val="Normal"/>
    <w:next w:val="Normal"/>
    <w:uiPriority w:val="39"/>
    <w:unhideWhenUsed/>
    <w:pPr>
      <w:spacing w:after="100"/>
      <w:ind w:left="440"/>
    </w:pPr>
  </w:style>
  <w:style w:type="paragraph" w:styleId="BalloonText">
    <w:name w:val="Balloon Text"/>
    <w:basedOn w:val="Normal"/>
    <w:link w:val="BalloonTextChar"/>
    <w:uiPriority w:val="99"/>
    <w:semiHidden/>
    <w:unhideWhenUsed/>
    <w:pPr>
      <w:spacing w:before="0" w:after="0"/>
    </w:pPr>
    <w:rPr>
      <w:rFonts w:ascii="Tahoma" w:hAnsi="Tahoma" w:cs="Tahoma"/>
      <w:sz w:val="16"/>
      <w:szCs w:val="16"/>
    </w:rPr>
  </w:style>
  <w:style w:type="paragraph" w:styleId="Footer">
    <w:name w:val="footer"/>
    <w:basedOn w:val="Normal"/>
    <w:link w:val="FooterChar"/>
    <w:uiPriority w:val="99"/>
    <w:unhideWhenUsed/>
    <w:pPr>
      <w:tabs>
        <w:tab w:val="center" w:pos="4703"/>
        <w:tab w:val="right" w:pos="9406"/>
      </w:tabs>
      <w:spacing w:before="0" w:after="0"/>
    </w:pPr>
  </w:style>
  <w:style w:type="paragraph" w:styleId="Header">
    <w:name w:val="header"/>
    <w:basedOn w:val="Normal"/>
    <w:link w:val="HeaderChar"/>
    <w:unhideWhenUsed/>
    <w:pPr>
      <w:tabs>
        <w:tab w:val="center" w:pos="4703"/>
        <w:tab w:val="right" w:pos="9406"/>
      </w:tabs>
      <w:spacing w:before="0" w:after="0"/>
    </w:pPr>
  </w:style>
  <w:style w:type="paragraph" w:styleId="TOC1">
    <w:name w:val="toc 1"/>
    <w:basedOn w:val="Normal"/>
    <w:next w:val="Normal"/>
    <w:uiPriority w:val="39"/>
    <w:unhideWhenUsed/>
    <w:pPr>
      <w:spacing w:after="100"/>
    </w:pPr>
  </w:style>
  <w:style w:type="paragraph" w:styleId="FootnoteText">
    <w:name w:val="footnote text"/>
    <w:basedOn w:val="Normal"/>
    <w:link w:val="FootnoteTextChar"/>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paragraph" w:styleId="TOC2">
    <w:name w:val="toc 2"/>
    <w:basedOn w:val="Normal"/>
    <w:next w:val="Normal"/>
    <w:uiPriority w:val="39"/>
    <w:unhideWhenUsed/>
    <w:pPr>
      <w:spacing w:after="100"/>
      <w:ind w:left="220"/>
    </w:pPr>
  </w:style>
  <w:style w:type="paragraph" w:styleId="BodyText2">
    <w:name w:val="Body Text 2"/>
    <w:basedOn w:val="Normal"/>
    <w:link w:val="BodyText2Char"/>
    <w:uiPriority w:val="99"/>
    <w:semiHidden/>
    <w:unhideWhenUsed/>
    <w:pPr>
      <w:spacing w:line="480" w:lineRule="auto"/>
    </w:p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paragraph" w:styleId="NormalWeb">
    <w:name w:val="Normal (Web)"/>
    <w:basedOn w:val="Normal"/>
    <w:uiPriority w:val="99"/>
    <w:semiHidden/>
    <w:unhideWhenUsed/>
    <w:pPr>
      <w:spacing w:before="100" w:beforeAutospacing="1" w:after="100" w:afterAutospacing="1"/>
      <w:jc w:val="left"/>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rPr>
      <w:color w:val="0000FF" w:themeColor="hyperlink"/>
      <w:u w:val="single"/>
    </w:rPr>
  </w:style>
  <w:style w:type="character" w:styleId="CommentReference">
    <w:name w:val="annotation reference"/>
    <w:basedOn w:val="DefaultParagraphFont"/>
    <w:uiPriority w:val="99"/>
    <w:semiHidden/>
    <w:unhideWhenUsed/>
    <w:rPr>
      <w:sz w:val="16"/>
      <w:szCs w:val="16"/>
    </w:rPr>
  </w:style>
  <w:style w:type="character" w:styleId="FootnoteReference">
    <w:name w:val="footnote reference"/>
    <w:uiPriority w:val="99"/>
    <w:rPr>
      <w:vertAlign w:val="superscript"/>
    </w:rPr>
  </w:style>
  <w:style w:type="table" w:styleId="TableGrid">
    <w:name w:val="Table Grid"/>
    <w:basedOn w:val="TableNormal"/>
    <w:uiPriority w:val="5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0"/>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rPr>
      <w:rFonts w:eastAsiaTheme="majorEastAsia" w:cstheme="majorBidi"/>
      <w:b/>
      <w:bCs/>
      <w:sz w:val="24"/>
      <w:szCs w:val="26"/>
    </w:rPr>
  </w:style>
  <w:style w:type="character" w:customStyle="1" w:styleId="Heading3Char">
    <w:name w:val="Heading 3 Char"/>
    <w:basedOn w:val="DefaultParagraphFont"/>
    <w:link w:val="Heading3"/>
    <w:uiPriority w:val="9"/>
    <w:rPr>
      <w:rFonts w:eastAsiaTheme="majorEastAsia" w:cstheme="majorBidi"/>
      <w:b/>
      <w:bCs/>
      <w:sz w:val="2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44061" w:themeColor="accent1" w:themeShade="80"/>
      <w:sz w:val="2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44061" w:themeColor="accent1" w:themeShade="80"/>
      <w:sz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customStyle="1" w:styleId="TOCHeading1">
    <w:name w:val="TOC Heading1"/>
    <w:basedOn w:val="Heading1"/>
    <w:next w:val="Normal"/>
    <w:uiPriority w:val="39"/>
    <w:semiHidden/>
    <w:unhideWhenUsed/>
    <w:qFormat/>
    <w:pPr>
      <w:numPr>
        <w:numId w:val="0"/>
      </w:numPr>
      <w:spacing w:before="480" w:after="0" w:line="276" w:lineRule="auto"/>
      <w:outlineLvl w:val="9"/>
    </w:pPr>
    <w:rPr>
      <w:rFonts w:asciiTheme="majorHAnsi" w:hAnsiTheme="majorHAnsi"/>
      <w:lang w:eastAsia="ja-JP"/>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HeaderChar">
    <w:name w:val="Header Char"/>
    <w:basedOn w:val="DefaultParagraphFont"/>
    <w:link w:val="Header"/>
  </w:style>
  <w:style w:type="character" w:customStyle="1" w:styleId="FooterChar">
    <w:name w:val="Footer Char"/>
    <w:basedOn w:val="DefaultParagraphFont"/>
    <w:link w:val="Footer"/>
    <w:uiPriority w:val="99"/>
  </w:style>
  <w:style w:type="paragraph" w:styleId="NoSpacing">
    <w:name w:val="No Spacing"/>
    <w:link w:val="NoSpacingChar"/>
    <w:uiPriority w:val="1"/>
    <w:qFormat/>
    <w:pPr>
      <w:spacing w:after="0" w:line="240" w:lineRule="auto"/>
    </w:pPr>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Pr>
      <w:rFonts w:eastAsiaTheme="minorEastAsia"/>
      <w:lang w:eastAsia="ja-JP"/>
    </w:rPr>
  </w:style>
  <w:style w:type="paragraph" w:customStyle="1" w:styleId="MessageHeaderFirst">
    <w:name w:val="Message Header First"/>
    <w:basedOn w:val="MessageHeader"/>
    <w:next w:val="MessageHeader"/>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z w:val="24"/>
      <w:szCs w:val="24"/>
      <w:shd w:val="pct20" w:color="auto" w:fill="auto"/>
    </w:rPr>
  </w:style>
  <w:style w:type="paragraph" w:styleId="ListParagraph">
    <w:name w:val="List Paragraph"/>
    <w:basedOn w:val="Normal"/>
    <w:link w:val="ListParagraphChar"/>
    <w:uiPriority w:val="34"/>
    <w:qFormat/>
    <w:pPr>
      <w:spacing w:before="0"/>
      <w:ind w:left="720"/>
      <w:jc w:val="left"/>
    </w:pPr>
    <w:rPr>
      <w:rFonts w:ascii="Calibri" w:eastAsia="Times New Roman" w:hAnsi="Calibri" w:cs="Times New Roman"/>
    </w:rPr>
  </w:style>
  <w:style w:type="character" w:customStyle="1" w:styleId="ListParagraphChar">
    <w:name w:val="List Paragraph Char"/>
    <w:link w:val="ListParagraph"/>
    <w:uiPriority w:val="99"/>
    <w:locked/>
    <w:rPr>
      <w:rFonts w:ascii="Calibri" w:eastAsia="Times New Roman" w:hAnsi="Calibri" w:cs="Times New Roman"/>
    </w:rPr>
  </w:style>
  <w:style w:type="character" w:customStyle="1" w:styleId="BodyTextChar">
    <w:name w:val="Body Text Char"/>
    <w:basedOn w:val="DefaultParagraphFont"/>
    <w:link w:val="BodyText"/>
    <w:uiPriority w:val="99"/>
    <w:rPr>
      <w:rFonts w:ascii="Times New Roman" w:eastAsia="Times New Roman" w:hAnsi="Times New Roman" w:cs="Times New Roman"/>
      <w:sz w:val="24"/>
      <w:szCs w:val="20"/>
    </w:rPr>
  </w:style>
  <w:style w:type="character" w:customStyle="1" w:styleId="FootnoteTextChar">
    <w:name w:val="Footnote Text Char"/>
    <w:basedOn w:val="DefaultParagraphFont"/>
    <w:link w:val="FootnoteText"/>
    <w:uiPriority w:val="99"/>
    <w:rPr>
      <w:rFonts w:ascii="Times New Roman" w:eastAsia="Times New Roman" w:hAnsi="Times New Roman" w:cs="Times New Roman"/>
      <w:sz w:val="16"/>
      <w:szCs w:val="20"/>
    </w:rPr>
  </w:style>
  <w:style w:type="paragraph" w:customStyle="1" w:styleId="Default">
    <w:name w:val="Default"/>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pPr>
      <w:spacing w:before="200" w:after="200" w:line="276" w:lineRule="auto"/>
      <w:ind w:left="720"/>
      <w:contextualSpacing/>
      <w:jc w:val="left"/>
    </w:pPr>
    <w:rPr>
      <w:rFonts w:ascii="Calibri" w:eastAsia="Times New Roman" w:hAnsi="Calibri" w:cs="Times New Roman"/>
      <w:szCs w:val="20"/>
      <w:lang w:bidi="en-US"/>
    </w:rPr>
  </w:style>
  <w:style w:type="character" w:customStyle="1" w:styleId="BodyText2Char">
    <w:name w:val="Body Text 2 Char"/>
    <w:basedOn w:val="DefaultParagraphFont"/>
    <w:link w:val="BodyText2"/>
    <w:uiPriority w:val="99"/>
    <w:semiHidden/>
  </w:style>
  <w:style w:type="paragraph" w:customStyle="1" w:styleId="GEFFieldtoFillout">
    <w:name w:val="GEF Field to Fill out"/>
    <w:basedOn w:val="Normal"/>
    <w:link w:val="GEFFieldtoFilloutChar"/>
    <w:uiPriority w:val="99"/>
    <w:qFormat/>
    <w:pPr>
      <w:spacing w:before="0" w:after="0"/>
      <w:ind w:left="-720"/>
      <w:jc w:val="left"/>
    </w:pPr>
    <w:rPr>
      <w:rFonts w:ascii="Times New Roman" w:eastAsia="SimSun" w:hAnsi="Times New Roman" w:cs="Times New Roman"/>
      <w:color w:val="000000"/>
      <w:sz w:val="22"/>
    </w:rPr>
  </w:style>
  <w:style w:type="character" w:customStyle="1" w:styleId="GEFFieldtoFilloutChar">
    <w:name w:val="GEF Field to Fill out Char"/>
    <w:link w:val="GEFFieldtoFillout"/>
    <w:uiPriority w:val="99"/>
    <w:rPr>
      <w:rFonts w:ascii="Times New Roman" w:eastAsia="SimSun" w:hAnsi="Times New Roman" w:cs="Times New Roman"/>
      <w:color w:val="000000"/>
    </w:rPr>
  </w:style>
  <w:style w:type="character" w:customStyle="1" w:styleId="CommentTextChar">
    <w:name w:val="Comment Text Char"/>
    <w:basedOn w:val="DefaultParagraphFont"/>
    <w:link w:val="CommentText"/>
    <w:uiPriority w:val="99"/>
    <w:semiHidden/>
    <w:rPr>
      <w:sz w:val="20"/>
      <w:szCs w:val="20"/>
    </w:rPr>
  </w:style>
  <w:style w:type="character" w:customStyle="1" w:styleId="CommentSubjectChar">
    <w:name w:val="Comment Subject Char"/>
    <w:basedOn w:val="CommentTextChar"/>
    <w:link w:val="CommentSubject"/>
    <w:uiPriority w:val="99"/>
    <w:semiHidden/>
    <w:rPr>
      <w:b/>
      <w:bCs/>
      <w:sz w:val="20"/>
      <w:szCs w:val="20"/>
    </w:rPr>
  </w:style>
  <w:style w:type="character" w:styleId="UnresolvedMention">
    <w:name w:val="Unresolved Mention"/>
    <w:basedOn w:val="DefaultParagraphFont"/>
    <w:uiPriority w:val="99"/>
    <w:semiHidden/>
    <w:unhideWhenUsed/>
    <w:rsid w:val="00013E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ainan.gov.cn/hn/zt/szrdl/hbdczhn/jcbs/201709/t20170925_2431803.html" TargetMode="External"/><Relationship Id="rId5" Type="http://schemas.openxmlformats.org/officeDocument/2006/relationships/settings" Target="settings.xml"/><Relationship Id="rId15" Type="http://schemas.openxmlformats.org/officeDocument/2006/relationships/customXml" Target="../customXml/item3.xml"/><Relationship Id="rId10" Type="http://schemas.openxmlformats.org/officeDocument/2006/relationships/hyperlink" Target="http://www.hainan.gov.cn/hn/zwgk/zfwj/szfwj/201801/t20180102_2515736.html" TargetMode="External"/><Relationship Id="rId4" Type="http://schemas.openxmlformats.org/officeDocument/2006/relationships/styles" Target="styles.xml"/><Relationship Id="rId9" Type="http://schemas.openxmlformats.org/officeDocument/2006/relationships/hyperlink" Target="http://www.xinhuanet.com/politics/2018-04/13/c_1122680495.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K_5823_CSAP_Hainan_Policy Baseline_31Jan2019</DocumentTitl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4DAD13-284C-40BD-828A-CB82F0BF796E}">
  <ds:schemaRefs>
    <ds:schemaRef ds:uri="http://schemas.openxmlformats.org/officeDocument/2006/bibliography"/>
  </ds:schemaRefs>
</ds:datastoreItem>
</file>

<file path=customXml/itemProps3.xml><?xml version="1.0" encoding="utf-8"?>
<ds:datastoreItem xmlns:ds="http://schemas.openxmlformats.org/officeDocument/2006/customXml" ds:itemID="{D5BCC9DA-EEBB-45C6-A0E0-55A1F8D7E4AD}"/>
</file>

<file path=customXml/itemProps4.xml><?xml version="1.0" encoding="utf-8"?>
<ds:datastoreItem xmlns:ds="http://schemas.openxmlformats.org/officeDocument/2006/customXml" ds:itemID="{D8A37E14-6AFA-4610-8E15-F4BB5EA22DC3}"/>
</file>

<file path=customXml/itemProps5.xml><?xml version="1.0" encoding="utf-8"?>
<ds:datastoreItem xmlns:ds="http://schemas.openxmlformats.org/officeDocument/2006/customXml" ds:itemID="{EEB0E78F-BCEE-4CCC-9C98-EDE878ACC8B1}"/>
</file>

<file path=docProps/app.xml><?xml version="1.0" encoding="utf-8"?>
<Properties xmlns="http://schemas.openxmlformats.org/officeDocument/2006/extended-properties" xmlns:vt="http://schemas.openxmlformats.org/officeDocument/2006/docPropsVTypes">
  <Template>Normal.dotm</Template>
  <TotalTime>0</TotalTime>
  <Pages>5</Pages>
  <Words>3044</Words>
  <Characters>17354</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Policy Baseline Analysis</vt:lpstr>
    </vt:vector>
  </TitlesOfParts>
  <Company/>
  <LinksUpToDate>false</LinksUpToDate>
  <CharactersWithSpaces>20358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 Baseline Analysis</dc:title>
  <dc:subject>C-SAP</dc:subject>
  <dc:creator>Prepared by: James Lenoci</dc:creator>
  <cp:lastModifiedBy>Carline Jean-Louis</cp:lastModifiedBy>
  <cp:revision>2</cp:revision>
  <cp:lastPrinted>2018-05-11T16:51:00Z</cp:lastPrinted>
  <dcterms:created xsi:type="dcterms:W3CDTF">2019-04-01T16:17:00Z</dcterms:created>
  <dcterms:modified xsi:type="dcterms:W3CDTF">2019-04-01T16:17:00Z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y fmtid="{D5CDD505-2E9C-101B-9397-08002B2CF9AE}" pid="3" name="ContentTypeId">
    <vt:lpwstr>0x01010000FE34C145B86045B63DA32DFB8FDDBE00F30692405A985C4A8B0A6D5A715BB992</vt:lpwstr>
  </property>
</Properties>
</file>